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81FA6" w14:textId="68DE1045" w:rsidR="00775163" w:rsidRPr="00DC3046" w:rsidRDefault="00775163" w:rsidP="004B7FEF">
      <w:pPr>
        <w:rPr>
          <w:rFonts w:ascii="Garamond" w:hAnsi="Garamond" w:cs="Arial"/>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09"/>
      </w:tblGrid>
      <w:tr w:rsidR="00775163" w:rsidRPr="00DC3046" w14:paraId="2F723BD3" w14:textId="77777777" w:rsidTr="007C1277">
        <w:trPr>
          <w:jc w:val="center"/>
        </w:trPr>
        <w:tc>
          <w:tcPr>
            <w:tcW w:w="9309" w:type="dxa"/>
            <w:shd w:val="clear" w:color="auto" w:fill="E0E0E0"/>
          </w:tcPr>
          <w:p w14:paraId="155315A6" w14:textId="366C384A" w:rsidR="00775163" w:rsidRPr="00DC3046" w:rsidRDefault="00775163" w:rsidP="00FA2FBD">
            <w:pPr>
              <w:jc w:val="both"/>
              <w:rPr>
                <w:rFonts w:ascii="Garamond" w:hAnsi="Garamond" w:cs="Arial"/>
                <w:b/>
                <w:sz w:val="24"/>
                <w:szCs w:val="24"/>
              </w:rPr>
            </w:pPr>
            <w:r w:rsidRPr="00DC3046">
              <w:rPr>
                <w:rFonts w:ascii="Garamond" w:hAnsi="Garamond" w:cs="Arial"/>
                <w:b/>
                <w:sz w:val="24"/>
                <w:szCs w:val="24"/>
              </w:rPr>
              <w:t>1. DESCRIPCIÓN DE LA NECESIDAD</w:t>
            </w:r>
            <w:r w:rsidR="000E5E46">
              <w:rPr>
                <w:rFonts w:ascii="Garamond" w:hAnsi="Garamond" w:cs="Arial"/>
                <w:b/>
                <w:sz w:val="24"/>
                <w:szCs w:val="24"/>
              </w:rPr>
              <w:t xml:space="preserve"> PARA</w:t>
            </w:r>
            <w:r w:rsidR="00CD5ED6">
              <w:rPr>
                <w:rFonts w:ascii="Garamond" w:hAnsi="Garamond" w:cs="Arial"/>
                <w:b/>
                <w:sz w:val="24"/>
                <w:szCs w:val="24"/>
              </w:rPr>
              <w:t xml:space="preserve"> LAS PARTES</w:t>
            </w:r>
          </w:p>
        </w:tc>
      </w:tr>
    </w:tbl>
    <w:p w14:paraId="4C6DE22C" w14:textId="77777777" w:rsidR="00775163" w:rsidRPr="00DC3046" w:rsidRDefault="00775163" w:rsidP="00FA2FBD">
      <w:pPr>
        <w:jc w:val="both"/>
        <w:rPr>
          <w:rFonts w:ascii="Garamond" w:hAnsi="Garamond" w:cs="Arial"/>
          <w:b/>
          <w:sz w:val="24"/>
          <w:szCs w:val="24"/>
        </w:rPr>
      </w:pPr>
    </w:p>
    <w:p w14:paraId="2E8A87A1" w14:textId="39D47DE7" w:rsidR="00B93F83" w:rsidRPr="00CD5ED6" w:rsidRDefault="007C1277" w:rsidP="001310CC">
      <w:pPr>
        <w:pStyle w:val="Prrafodelista"/>
        <w:numPr>
          <w:ilvl w:val="1"/>
          <w:numId w:val="6"/>
        </w:numPr>
        <w:tabs>
          <w:tab w:val="left" w:pos="795"/>
        </w:tabs>
        <w:spacing w:after="0" w:line="240" w:lineRule="auto"/>
        <w:jc w:val="both"/>
        <w:rPr>
          <w:rFonts w:ascii="Garamond" w:hAnsi="Garamond" w:cs="Arial"/>
          <w:b/>
          <w:iCs/>
          <w:sz w:val="24"/>
          <w:szCs w:val="24"/>
        </w:rPr>
      </w:pPr>
      <w:r w:rsidRPr="00CD5ED6">
        <w:rPr>
          <w:rFonts w:ascii="Garamond" w:hAnsi="Garamond" w:cs="Arial"/>
          <w:b/>
          <w:iCs/>
          <w:sz w:val="24"/>
          <w:szCs w:val="24"/>
        </w:rPr>
        <w:t>ANTECEDENTES Y NECESIDAD</w:t>
      </w:r>
      <w:r w:rsidR="00AC46AF">
        <w:rPr>
          <w:rFonts w:ascii="Garamond" w:hAnsi="Garamond" w:cs="Arial"/>
          <w:b/>
          <w:iCs/>
          <w:sz w:val="24"/>
          <w:szCs w:val="24"/>
        </w:rPr>
        <w:t xml:space="preserve"> FONDO DE </w:t>
      </w:r>
      <w:r w:rsidR="00B30AD2">
        <w:rPr>
          <w:rFonts w:ascii="Garamond" w:hAnsi="Garamond" w:cs="Arial"/>
          <w:b/>
          <w:iCs/>
          <w:sz w:val="24"/>
          <w:szCs w:val="24"/>
        </w:rPr>
        <w:t>DESARR</w:t>
      </w:r>
      <w:r w:rsidR="000A5814">
        <w:rPr>
          <w:rFonts w:ascii="Garamond" w:hAnsi="Garamond" w:cs="Arial"/>
          <w:b/>
          <w:iCs/>
          <w:sz w:val="24"/>
          <w:szCs w:val="24"/>
        </w:rPr>
        <w:t>OLLO LOCAL DE LOS MÁRTIRES</w:t>
      </w:r>
    </w:p>
    <w:p w14:paraId="261D437C" w14:textId="77777777" w:rsidR="00CD5ED6" w:rsidRPr="00CD5ED6" w:rsidRDefault="00CD5ED6" w:rsidP="008A47A2">
      <w:pPr>
        <w:pStyle w:val="Prrafodelista"/>
        <w:tabs>
          <w:tab w:val="left" w:pos="795"/>
        </w:tabs>
        <w:spacing w:after="0" w:line="240" w:lineRule="auto"/>
        <w:jc w:val="both"/>
        <w:rPr>
          <w:rFonts w:ascii="Garamond" w:hAnsi="Garamond" w:cs="Arial"/>
          <w:b/>
          <w:iCs/>
          <w:sz w:val="24"/>
          <w:szCs w:val="24"/>
        </w:rPr>
      </w:pPr>
    </w:p>
    <w:p w14:paraId="188B153E" w14:textId="21DC1E2A" w:rsidR="00242377" w:rsidRPr="00AC37FF" w:rsidRDefault="00BD0BFC" w:rsidP="008A47A2">
      <w:pPr>
        <w:pStyle w:val="Standard"/>
        <w:autoSpaceDE w:val="0"/>
        <w:jc w:val="both"/>
        <w:rPr>
          <w:rFonts w:ascii="Garamond" w:hAnsi="Garamond" w:cs="Arial"/>
          <w:bCs/>
          <w:i/>
          <w:color w:val="000000"/>
          <w:sz w:val="24"/>
          <w:szCs w:val="24"/>
        </w:rPr>
      </w:pPr>
      <w:r>
        <w:rPr>
          <w:rFonts w:ascii="Garamond" w:hAnsi="Garamond" w:cs="Arial"/>
          <w:bCs/>
          <w:color w:val="000000"/>
          <w:sz w:val="24"/>
          <w:szCs w:val="24"/>
        </w:rPr>
        <w:t>De conformidad con el Artículo 1</w:t>
      </w:r>
      <w:r w:rsidR="00242377" w:rsidRPr="00242377">
        <w:rPr>
          <w:rFonts w:ascii="Garamond" w:hAnsi="Garamond" w:cs="Arial"/>
          <w:bCs/>
          <w:color w:val="000000"/>
          <w:sz w:val="24"/>
          <w:szCs w:val="24"/>
        </w:rPr>
        <w:t xml:space="preserve">5 del Acuerdo Distrital 637 de 2016 el cual modifica el artículo 52 del Acuerdo Distrital 257 de 2006, </w:t>
      </w:r>
      <w:r w:rsidR="004C397B">
        <w:rPr>
          <w:rFonts w:ascii="Garamond" w:hAnsi="Garamond" w:cs="Arial"/>
          <w:bCs/>
          <w:color w:val="000000"/>
          <w:sz w:val="24"/>
          <w:szCs w:val="24"/>
        </w:rPr>
        <w:t>el cual establece</w:t>
      </w:r>
      <w:r w:rsidR="00242377" w:rsidRPr="00242377">
        <w:rPr>
          <w:rFonts w:ascii="Garamond" w:hAnsi="Garamond" w:cs="Arial"/>
          <w:bCs/>
          <w:color w:val="000000"/>
          <w:sz w:val="24"/>
          <w:szCs w:val="24"/>
        </w:rPr>
        <w:t xml:space="preserve"> </w:t>
      </w:r>
      <w:r w:rsidR="00242377" w:rsidRPr="00AC37FF">
        <w:rPr>
          <w:rFonts w:ascii="Garamond" w:hAnsi="Garamond" w:cs="Arial"/>
          <w:bCs/>
          <w:i/>
          <w:color w:val="000000"/>
          <w:sz w:val="24"/>
          <w:szCs w:val="24"/>
        </w:rPr>
        <w:t>“La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0CE8C89D" w14:textId="77777777" w:rsidR="00647C4A" w:rsidRDefault="00647C4A" w:rsidP="00647C4A">
      <w:pPr>
        <w:pStyle w:val="Standard"/>
        <w:autoSpaceDE w:val="0"/>
        <w:jc w:val="both"/>
        <w:rPr>
          <w:rFonts w:ascii="Garamond" w:hAnsi="Garamond" w:cs="Arial"/>
          <w:bCs/>
          <w:color w:val="000000"/>
          <w:sz w:val="24"/>
          <w:szCs w:val="24"/>
        </w:rPr>
      </w:pPr>
    </w:p>
    <w:p w14:paraId="110D38DB" w14:textId="5C049486" w:rsidR="00647C4A" w:rsidRPr="00647C4A" w:rsidRDefault="000C5B85" w:rsidP="00647C4A">
      <w:pPr>
        <w:pStyle w:val="Standard"/>
        <w:autoSpaceDE w:val="0"/>
        <w:jc w:val="both"/>
        <w:rPr>
          <w:rFonts w:ascii="Garamond" w:hAnsi="Garamond" w:cs="Arial"/>
          <w:bCs/>
          <w:color w:val="000000"/>
          <w:sz w:val="24"/>
          <w:szCs w:val="24"/>
        </w:rPr>
      </w:pPr>
      <w:r>
        <w:rPr>
          <w:rFonts w:ascii="Garamond" w:hAnsi="Garamond" w:cs="Arial"/>
          <w:bCs/>
          <w:color w:val="000000"/>
          <w:sz w:val="24"/>
          <w:szCs w:val="24"/>
        </w:rPr>
        <w:t xml:space="preserve">De acuerdo con el </w:t>
      </w:r>
      <w:r w:rsidR="00647C4A" w:rsidRPr="00647C4A">
        <w:rPr>
          <w:rFonts w:ascii="Garamond" w:hAnsi="Garamond" w:cs="Arial"/>
          <w:bCs/>
          <w:color w:val="000000"/>
          <w:sz w:val="24"/>
          <w:szCs w:val="24"/>
        </w:rPr>
        <w:t xml:space="preserve">artículo 6 del Acuerdo Nº 740 de 2019, “la Alcaldía Local es una dependencia de la Secretaría Distrital de Gobierno responsable de las competencias asignadas a los Alcaldes Locales. En ese sentido, se ocupa de facilitar la acción del Distrito Capital en las localidades y ejecutar las funciones delegadas por el Alcalde Mayor, o desconcentradas según las disposiciones legales, en cumplimiento de los fines del Distrito Capital”.  </w:t>
      </w:r>
    </w:p>
    <w:p w14:paraId="434AF563" w14:textId="77777777" w:rsidR="00647C4A" w:rsidRPr="00647C4A" w:rsidRDefault="00647C4A" w:rsidP="00647C4A">
      <w:pPr>
        <w:pStyle w:val="Standard"/>
        <w:autoSpaceDE w:val="0"/>
        <w:rPr>
          <w:rFonts w:ascii="Garamond" w:hAnsi="Garamond" w:cs="Arial"/>
          <w:bCs/>
          <w:color w:val="000000"/>
          <w:sz w:val="24"/>
          <w:szCs w:val="24"/>
        </w:rPr>
      </w:pPr>
    </w:p>
    <w:p w14:paraId="2DB4A9E9" w14:textId="74F93EA8" w:rsidR="00647C4A" w:rsidRPr="00647C4A" w:rsidRDefault="00647C4A" w:rsidP="00647C4A">
      <w:pPr>
        <w:pStyle w:val="Standard"/>
        <w:autoSpaceDE w:val="0"/>
        <w:jc w:val="both"/>
        <w:rPr>
          <w:rFonts w:ascii="Garamond" w:hAnsi="Garamond" w:cs="Arial"/>
          <w:bCs/>
          <w:color w:val="000000"/>
          <w:sz w:val="24"/>
          <w:szCs w:val="24"/>
        </w:rPr>
      </w:pPr>
      <w:r w:rsidRPr="00647C4A">
        <w:rPr>
          <w:rFonts w:ascii="Garamond" w:hAnsi="Garamond" w:cs="Arial"/>
          <w:bCs/>
          <w:color w:val="000000"/>
          <w:sz w:val="24"/>
          <w:szCs w:val="24"/>
        </w:rPr>
        <w:t>S</w:t>
      </w:r>
      <w:r w:rsidR="00AD740D">
        <w:rPr>
          <w:rFonts w:ascii="Garamond" w:hAnsi="Garamond" w:cs="Arial"/>
          <w:bCs/>
          <w:color w:val="000000"/>
          <w:sz w:val="24"/>
          <w:szCs w:val="24"/>
        </w:rPr>
        <w:t>egún el artículo 7 del mencionado acuerdo</w:t>
      </w:r>
      <w:r w:rsidRPr="00647C4A">
        <w:rPr>
          <w:rFonts w:ascii="Garamond" w:hAnsi="Garamond" w:cs="Arial"/>
          <w:bCs/>
          <w:color w:val="000000"/>
          <w:sz w:val="24"/>
          <w:szCs w:val="24"/>
        </w:rPr>
        <w:t>, las alcaldías locales tienen a su cargo el cumplimiento de un conjunto de funciones misionales, administrativas y de coordinación entre niveles, dentro de las cuales, se destacan: i) Planear estratégicamente los asuntos propios relativos a sus competencias y la ejecución de los recursos de los Fondos de Desarrollo Local, en el marco de los Planes de Desarrollo Local y de los lineamientos y prioridades del Distrito Capital relativos a su localidad; ii) Contribuir a las metas del Plan Distrital de Desarrollo, en el marco de las competencias de las autoridades locales; y iii) Asegurar la articulación de la gestión local y distrital a través de la armonización de los Planes de Desarrollo Local con el Plan Distrital de Desarrollo y el Plan de Ordenamiento Territorial del Distrito Capital y las políticas públicas distritales</w:t>
      </w:r>
    </w:p>
    <w:p w14:paraId="06E72C69" w14:textId="77777777" w:rsidR="00647C4A" w:rsidRPr="00647C4A" w:rsidRDefault="00647C4A" w:rsidP="00647C4A">
      <w:pPr>
        <w:pStyle w:val="Standard"/>
        <w:autoSpaceDE w:val="0"/>
        <w:jc w:val="both"/>
        <w:rPr>
          <w:rFonts w:ascii="Garamond" w:hAnsi="Garamond" w:cs="Arial"/>
          <w:bCs/>
          <w:color w:val="000000"/>
          <w:sz w:val="24"/>
          <w:szCs w:val="24"/>
        </w:rPr>
      </w:pPr>
    </w:p>
    <w:p w14:paraId="6D9F66AC" w14:textId="13BB15BD" w:rsidR="00647C4A" w:rsidRPr="00647C4A" w:rsidRDefault="000E044D" w:rsidP="00870FEC">
      <w:pPr>
        <w:pStyle w:val="Standard"/>
        <w:autoSpaceDE w:val="0"/>
        <w:jc w:val="both"/>
        <w:rPr>
          <w:rFonts w:ascii="Garamond" w:hAnsi="Garamond" w:cs="Arial"/>
          <w:bCs/>
          <w:color w:val="000000"/>
          <w:sz w:val="24"/>
          <w:szCs w:val="24"/>
        </w:rPr>
      </w:pPr>
      <w:r>
        <w:rPr>
          <w:rFonts w:ascii="Garamond" w:hAnsi="Garamond" w:cs="Arial"/>
          <w:bCs/>
          <w:color w:val="000000"/>
          <w:sz w:val="24"/>
          <w:szCs w:val="24"/>
        </w:rPr>
        <w:t>Adicionalmente</w:t>
      </w:r>
      <w:r w:rsidR="00647C4A" w:rsidRPr="00647C4A">
        <w:rPr>
          <w:rFonts w:ascii="Garamond" w:hAnsi="Garamond" w:cs="Arial"/>
          <w:bCs/>
          <w:color w:val="000000"/>
          <w:sz w:val="24"/>
          <w:szCs w:val="24"/>
        </w:rPr>
        <w:t xml:space="preserve">, de acuerdo con el artículo 5 del Decreto Distrital 411 de 30 de septiembre de 2016, "Por medio del cual se modifica la Estructura Organizacional de la Secretaría Distrital de Gobierno", corresponde a las Alcaldías Locales, entre otras, las siguientes funciones: </w:t>
      </w:r>
    </w:p>
    <w:p w14:paraId="1732CCF9" w14:textId="77777777" w:rsidR="00647C4A" w:rsidRPr="00647C4A" w:rsidRDefault="00647C4A" w:rsidP="00870FEC">
      <w:pPr>
        <w:pStyle w:val="Standard"/>
        <w:autoSpaceDE w:val="0"/>
        <w:jc w:val="both"/>
        <w:rPr>
          <w:rFonts w:ascii="Garamond" w:hAnsi="Garamond" w:cs="Arial"/>
          <w:bCs/>
          <w:color w:val="000000"/>
          <w:sz w:val="24"/>
          <w:szCs w:val="24"/>
        </w:rPr>
      </w:pPr>
    </w:p>
    <w:p w14:paraId="12EE22EF" w14:textId="77777777" w:rsidR="00647C4A" w:rsidRPr="00647C4A" w:rsidRDefault="00647C4A" w:rsidP="00870FEC">
      <w:pPr>
        <w:pStyle w:val="Standard"/>
        <w:autoSpaceDE w:val="0"/>
        <w:jc w:val="both"/>
        <w:rPr>
          <w:rFonts w:ascii="Garamond" w:hAnsi="Garamond" w:cs="Arial"/>
          <w:bCs/>
          <w:color w:val="000000"/>
          <w:sz w:val="24"/>
          <w:szCs w:val="24"/>
        </w:rPr>
      </w:pPr>
      <w:r w:rsidRPr="00647C4A">
        <w:rPr>
          <w:rFonts w:ascii="Garamond" w:hAnsi="Garamond" w:cs="Arial"/>
          <w:bCs/>
          <w:color w:val="000000"/>
          <w:sz w:val="24"/>
          <w:szCs w:val="24"/>
        </w:rPr>
        <w:t xml:space="preserve">a) Formular el Plan de Desarrollo Local en el marco de las orientaciones distritales. (...) </w:t>
      </w:r>
    </w:p>
    <w:p w14:paraId="54BEE052" w14:textId="77777777" w:rsidR="00647C4A" w:rsidRPr="00647C4A" w:rsidRDefault="00647C4A" w:rsidP="00BC6C9A">
      <w:pPr>
        <w:pStyle w:val="Standard"/>
        <w:autoSpaceDE w:val="0"/>
        <w:jc w:val="both"/>
        <w:rPr>
          <w:rFonts w:ascii="Garamond" w:hAnsi="Garamond" w:cs="Arial"/>
          <w:bCs/>
          <w:color w:val="000000"/>
          <w:sz w:val="24"/>
          <w:szCs w:val="24"/>
        </w:rPr>
      </w:pPr>
      <w:r w:rsidRPr="00647C4A">
        <w:rPr>
          <w:rFonts w:ascii="Garamond" w:hAnsi="Garamond" w:cs="Arial"/>
          <w:bCs/>
          <w:color w:val="000000"/>
          <w:sz w:val="24"/>
          <w:szCs w:val="24"/>
        </w:rPr>
        <w:lastRenderedPageBreak/>
        <w:t>c) Coordinar la ejecución en el territorio de los planes programas y proyectos de las entidades y organismos Distritales que intervienen en la localidad, como complemento al Plan de Desarrollo local, conforme a los lineamientos y orientaciones distritales.</w:t>
      </w:r>
    </w:p>
    <w:p w14:paraId="2E805C9A" w14:textId="62AD4ADF" w:rsidR="006A4A5C" w:rsidRDefault="00647C4A" w:rsidP="00BC6C9A">
      <w:pPr>
        <w:pStyle w:val="Standard"/>
        <w:autoSpaceDE w:val="0"/>
        <w:jc w:val="both"/>
        <w:rPr>
          <w:rFonts w:ascii="Garamond" w:hAnsi="Garamond" w:cs="Arial"/>
          <w:bCs/>
          <w:color w:val="000000"/>
          <w:sz w:val="24"/>
          <w:szCs w:val="24"/>
        </w:rPr>
      </w:pPr>
      <w:r w:rsidRPr="00647C4A">
        <w:rPr>
          <w:rFonts w:ascii="Garamond" w:hAnsi="Garamond" w:cs="Arial"/>
          <w:bCs/>
          <w:color w:val="000000"/>
          <w:sz w:val="24"/>
          <w:szCs w:val="24"/>
        </w:rPr>
        <w:t>d) Desarrollar los procesos asociados a la formulación, ejecución y seguimiento de los proyectos de inversión con cargo a los recursos de los Fondos de Desarrollo Local, cuando la delegación de la facultad de ejecución del gasto recaiga en el Alcalde Local.</w:t>
      </w:r>
    </w:p>
    <w:p w14:paraId="2D1E30F8" w14:textId="77777777" w:rsidR="006A4A5C" w:rsidRPr="00647C4A" w:rsidRDefault="006A4A5C" w:rsidP="00BC6C9A">
      <w:pPr>
        <w:pStyle w:val="Standard"/>
        <w:autoSpaceDE w:val="0"/>
        <w:jc w:val="both"/>
        <w:rPr>
          <w:rFonts w:ascii="Garamond" w:hAnsi="Garamond" w:cs="Arial"/>
          <w:bCs/>
          <w:color w:val="000000"/>
          <w:sz w:val="24"/>
          <w:szCs w:val="24"/>
        </w:rPr>
      </w:pPr>
    </w:p>
    <w:p w14:paraId="47B01B61" w14:textId="77777777" w:rsidR="00647C4A" w:rsidRPr="00647C4A" w:rsidRDefault="00647C4A" w:rsidP="00BC6C9A">
      <w:pPr>
        <w:pStyle w:val="Standard"/>
        <w:autoSpaceDE w:val="0"/>
        <w:jc w:val="both"/>
        <w:rPr>
          <w:rFonts w:ascii="Garamond" w:hAnsi="Garamond" w:cs="Arial"/>
          <w:bCs/>
          <w:color w:val="000000"/>
          <w:sz w:val="24"/>
          <w:szCs w:val="24"/>
        </w:rPr>
      </w:pPr>
      <w:r w:rsidRPr="00647C4A">
        <w:rPr>
          <w:rFonts w:ascii="Garamond" w:hAnsi="Garamond" w:cs="Arial"/>
          <w:bCs/>
          <w:color w:val="000000"/>
          <w:sz w:val="24"/>
          <w:szCs w:val="24"/>
        </w:rPr>
        <w:t>Ahora bien, el artículo 8 del Acuerdo Nº 740 de 2019 define que: “En cada una de las localidades habrá un Fondo de Desarrollo Local con personería jurídica y patrimonio propio. Con cargo a los recursos del Fondo se financiarán las inversiones priorizadas en el Plan de Desarrollo Local, en concordancia con el Plan Distrital de Desarrollo y el Plan de Ordenamiento Territorial (...)”.</w:t>
      </w:r>
    </w:p>
    <w:p w14:paraId="4A173094" w14:textId="77777777" w:rsidR="00647C4A" w:rsidRPr="00647C4A" w:rsidRDefault="00647C4A" w:rsidP="00BC6C9A">
      <w:pPr>
        <w:pStyle w:val="Standard"/>
        <w:autoSpaceDE w:val="0"/>
        <w:jc w:val="both"/>
        <w:rPr>
          <w:rFonts w:ascii="Garamond" w:hAnsi="Garamond" w:cs="Arial"/>
          <w:bCs/>
          <w:color w:val="000000"/>
          <w:sz w:val="24"/>
          <w:szCs w:val="24"/>
        </w:rPr>
      </w:pPr>
    </w:p>
    <w:p w14:paraId="76AF7D85" w14:textId="66E92581" w:rsidR="00647C4A" w:rsidRPr="00647C4A" w:rsidRDefault="0049733A" w:rsidP="00BC6C9A">
      <w:pPr>
        <w:pStyle w:val="Standard"/>
        <w:autoSpaceDE w:val="0"/>
        <w:jc w:val="both"/>
        <w:rPr>
          <w:rFonts w:ascii="Garamond" w:hAnsi="Garamond" w:cs="Arial"/>
          <w:bCs/>
          <w:color w:val="000000"/>
          <w:sz w:val="24"/>
          <w:szCs w:val="24"/>
        </w:rPr>
      </w:pPr>
      <w:r>
        <w:rPr>
          <w:rFonts w:ascii="Garamond" w:hAnsi="Garamond" w:cs="Arial"/>
          <w:bCs/>
          <w:color w:val="000000"/>
          <w:sz w:val="24"/>
          <w:szCs w:val="24"/>
        </w:rPr>
        <w:t xml:space="preserve">De acuerdo con los estipulado en </w:t>
      </w:r>
      <w:r w:rsidR="00647C4A" w:rsidRPr="00647C4A">
        <w:rPr>
          <w:rFonts w:ascii="Garamond" w:hAnsi="Garamond" w:cs="Arial"/>
          <w:bCs/>
          <w:color w:val="000000"/>
          <w:sz w:val="24"/>
          <w:szCs w:val="24"/>
        </w:rPr>
        <w:t xml:space="preserve">el Acuerdo 878 de 2023 “Por medio del cual se dictan lineamientos para el Sistema Distrital de Planeación, la creación de planes de desarrollo, se garantiza la participación ciudadana en el Distrito Capital y se dictan otras disposiciones”, son "(...) un instrumento de la planeación en el que se establece el marco del desarrollo de la localidad con una visión estratégica compartida y de futuro con base en las necesidades de la localidad, el cual es resultado de un proceso de concertación entre los diversos actores de la planeación local y la comunidad. En él se definen las prioridades del desarrollo para orientar la aplicación racional de los recursos de los Fondos de Desarrollo Local, permitiendo así concebir objetivos y metas alcanzables en un período determinado que contribuyan al desarrollo de la localidad”.  </w:t>
      </w:r>
    </w:p>
    <w:p w14:paraId="456F5CC4" w14:textId="77777777" w:rsidR="00647C4A" w:rsidRPr="00647C4A" w:rsidRDefault="00647C4A" w:rsidP="00647C4A">
      <w:pPr>
        <w:pStyle w:val="Standard"/>
        <w:autoSpaceDE w:val="0"/>
        <w:rPr>
          <w:rFonts w:ascii="Garamond" w:hAnsi="Garamond" w:cs="Arial"/>
          <w:bCs/>
          <w:color w:val="000000"/>
          <w:sz w:val="24"/>
          <w:szCs w:val="24"/>
        </w:rPr>
      </w:pPr>
    </w:p>
    <w:p w14:paraId="5C469202" w14:textId="77777777" w:rsidR="00647C4A" w:rsidRPr="00647C4A" w:rsidRDefault="00647C4A" w:rsidP="00BC6C9A">
      <w:pPr>
        <w:pStyle w:val="Standard"/>
        <w:autoSpaceDE w:val="0"/>
        <w:jc w:val="both"/>
        <w:rPr>
          <w:rFonts w:ascii="Garamond" w:hAnsi="Garamond" w:cs="Arial"/>
          <w:bCs/>
          <w:color w:val="000000"/>
          <w:sz w:val="24"/>
          <w:szCs w:val="24"/>
        </w:rPr>
      </w:pPr>
      <w:r w:rsidRPr="00647C4A">
        <w:rPr>
          <w:rFonts w:ascii="Garamond" w:hAnsi="Garamond" w:cs="Arial"/>
          <w:bCs/>
          <w:color w:val="000000"/>
          <w:sz w:val="24"/>
          <w:szCs w:val="24"/>
        </w:rPr>
        <w:t>A su turno, el artículo 58 de dicho acuerdo establece que: “Los Planes de Desarrollo Local tendrán como fundamento:</w:t>
      </w:r>
    </w:p>
    <w:p w14:paraId="1A5C4985" w14:textId="77777777" w:rsidR="00647C4A" w:rsidRPr="00647C4A" w:rsidRDefault="00647C4A" w:rsidP="00BC6C9A">
      <w:pPr>
        <w:pStyle w:val="Standard"/>
        <w:autoSpaceDE w:val="0"/>
        <w:jc w:val="both"/>
        <w:rPr>
          <w:rFonts w:ascii="Garamond" w:hAnsi="Garamond" w:cs="Arial"/>
          <w:bCs/>
          <w:color w:val="000000"/>
          <w:sz w:val="24"/>
          <w:szCs w:val="24"/>
        </w:rPr>
      </w:pPr>
    </w:p>
    <w:p w14:paraId="6EB18564" w14:textId="77777777" w:rsidR="00733059" w:rsidRDefault="00647C4A" w:rsidP="0055486F">
      <w:pPr>
        <w:pStyle w:val="Standard"/>
        <w:numPr>
          <w:ilvl w:val="0"/>
          <w:numId w:val="44"/>
        </w:numPr>
        <w:autoSpaceDE w:val="0"/>
        <w:jc w:val="both"/>
        <w:rPr>
          <w:rFonts w:ascii="Garamond" w:hAnsi="Garamond" w:cs="Arial"/>
          <w:bCs/>
          <w:color w:val="000000"/>
          <w:sz w:val="24"/>
          <w:szCs w:val="24"/>
        </w:rPr>
      </w:pPr>
      <w:r w:rsidRPr="00647C4A">
        <w:rPr>
          <w:rFonts w:ascii="Garamond" w:hAnsi="Garamond" w:cs="Arial"/>
          <w:bCs/>
          <w:color w:val="000000"/>
          <w:sz w:val="24"/>
          <w:szCs w:val="24"/>
        </w:rPr>
        <w:t>El Plan Distrital de Desarrollo.</w:t>
      </w:r>
    </w:p>
    <w:p w14:paraId="6632D22B" w14:textId="75711814" w:rsidR="00733059" w:rsidRDefault="00647C4A" w:rsidP="0055486F">
      <w:pPr>
        <w:pStyle w:val="Standard"/>
        <w:numPr>
          <w:ilvl w:val="0"/>
          <w:numId w:val="44"/>
        </w:numPr>
        <w:autoSpaceDE w:val="0"/>
        <w:jc w:val="both"/>
        <w:rPr>
          <w:rFonts w:ascii="Garamond" w:hAnsi="Garamond" w:cs="Arial"/>
          <w:bCs/>
          <w:color w:val="000000"/>
          <w:sz w:val="24"/>
          <w:szCs w:val="24"/>
        </w:rPr>
      </w:pPr>
      <w:r w:rsidRPr="00733059">
        <w:rPr>
          <w:rFonts w:ascii="Garamond" w:hAnsi="Garamond" w:cs="Arial"/>
          <w:bCs/>
          <w:color w:val="000000"/>
          <w:sz w:val="24"/>
          <w:szCs w:val="24"/>
        </w:rPr>
        <w:t>El programa de ejecución del Plan de Ordenamiento Físico Territorial.</w:t>
      </w:r>
    </w:p>
    <w:p w14:paraId="74084804" w14:textId="77777777" w:rsidR="00733059" w:rsidRDefault="00647C4A" w:rsidP="0055486F">
      <w:pPr>
        <w:pStyle w:val="Standard"/>
        <w:numPr>
          <w:ilvl w:val="0"/>
          <w:numId w:val="44"/>
        </w:numPr>
        <w:autoSpaceDE w:val="0"/>
        <w:jc w:val="both"/>
        <w:rPr>
          <w:rFonts w:ascii="Garamond" w:hAnsi="Garamond" w:cs="Arial"/>
          <w:bCs/>
          <w:color w:val="000000"/>
          <w:sz w:val="24"/>
          <w:szCs w:val="24"/>
        </w:rPr>
      </w:pPr>
      <w:r w:rsidRPr="00733059">
        <w:rPr>
          <w:rFonts w:ascii="Garamond" w:hAnsi="Garamond" w:cs="Arial"/>
          <w:bCs/>
          <w:color w:val="000000"/>
          <w:sz w:val="24"/>
          <w:szCs w:val="24"/>
        </w:rPr>
        <w:t>Las políticas públicas y sus planes de acción territorializados.</w:t>
      </w:r>
    </w:p>
    <w:p w14:paraId="14E845AE" w14:textId="77777777" w:rsidR="00733059" w:rsidRDefault="00647C4A" w:rsidP="0055486F">
      <w:pPr>
        <w:pStyle w:val="Standard"/>
        <w:numPr>
          <w:ilvl w:val="0"/>
          <w:numId w:val="44"/>
        </w:numPr>
        <w:autoSpaceDE w:val="0"/>
        <w:jc w:val="both"/>
        <w:rPr>
          <w:rFonts w:ascii="Garamond" w:hAnsi="Garamond" w:cs="Arial"/>
          <w:bCs/>
          <w:color w:val="000000"/>
          <w:sz w:val="24"/>
          <w:szCs w:val="24"/>
        </w:rPr>
      </w:pPr>
      <w:r w:rsidRPr="00733059">
        <w:rPr>
          <w:rFonts w:ascii="Garamond" w:hAnsi="Garamond" w:cs="Arial"/>
          <w:bCs/>
          <w:color w:val="000000"/>
          <w:sz w:val="24"/>
          <w:szCs w:val="24"/>
        </w:rPr>
        <w:t>Las competencias y líneas de inversión local para los Fondos de Desarrollo Local.</w:t>
      </w:r>
    </w:p>
    <w:p w14:paraId="622A3CBB" w14:textId="77777777" w:rsidR="00733059" w:rsidRDefault="00647C4A" w:rsidP="0055486F">
      <w:pPr>
        <w:pStyle w:val="Standard"/>
        <w:numPr>
          <w:ilvl w:val="0"/>
          <w:numId w:val="44"/>
        </w:numPr>
        <w:autoSpaceDE w:val="0"/>
        <w:jc w:val="both"/>
        <w:rPr>
          <w:rFonts w:ascii="Garamond" w:hAnsi="Garamond" w:cs="Arial"/>
          <w:bCs/>
          <w:color w:val="000000"/>
          <w:sz w:val="24"/>
          <w:szCs w:val="24"/>
        </w:rPr>
      </w:pPr>
      <w:r w:rsidRPr="00733059">
        <w:rPr>
          <w:rFonts w:ascii="Garamond" w:hAnsi="Garamond" w:cs="Arial"/>
          <w:bCs/>
          <w:color w:val="000000"/>
          <w:sz w:val="24"/>
          <w:szCs w:val="24"/>
        </w:rPr>
        <w:t>El diagnóstico de ciudad con variables territorializadas por localidad.</w:t>
      </w:r>
    </w:p>
    <w:p w14:paraId="079C89D8" w14:textId="612BA372" w:rsidR="00647C4A" w:rsidRPr="00733059" w:rsidRDefault="00647C4A" w:rsidP="0055486F">
      <w:pPr>
        <w:pStyle w:val="Standard"/>
        <w:numPr>
          <w:ilvl w:val="0"/>
          <w:numId w:val="44"/>
        </w:numPr>
        <w:autoSpaceDE w:val="0"/>
        <w:jc w:val="both"/>
        <w:rPr>
          <w:rFonts w:ascii="Garamond" w:hAnsi="Garamond" w:cs="Arial"/>
          <w:bCs/>
          <w:color w:val="000000"/>
          <w:sz w:val="24"/>
          <w:szCs w:val="24"/>
        </w:rPr>
      </w:pPr>
      <w:r w:rsidRPr="00733059">
        <w:rPr>
          <w:rFonts w:ascii="Garamond" w:hAnsi="Garamond" w:cs="Arial"/>
          <w:bCs/>
          <w:color w:val="000000"/>
          <w:sz w:val="24"/>
          <w:szCs w:val="24"/>
        </w:rPr>
        <w:t>Los aportes resultantes de los Encuentros Ciudadanos Locales”.</w:t>
      </w:r>
    </w:p>
    <w:p w14:paraId="1B60D7D9" w14:textId="77777777" w:rsidR="00647C4A" w:rsidRPr="00647C4A" w:rsidRDefault="00647C4A" w:rsidP="00BC6C9A">
      <w:pPr>
        <w:pStyle w:val="Standard"/>
        <w:autoSpaceDE w:val="0"/>
        <w:jc w:val="both"/>
        <w:rPr>
          <w:rFonts w:ascii="Garamond" w:hAnsi="Garamond" w:cs="Arial"/>
          <w:bCs/>
          <w:color w:val="000000"/>
          <w:sz w:val="24"/>
          <w:szCs w:val="24"/>
        </w:rPr>
      </w:pPr>
    </w:p>
    <w:p w14:paraId="6D455208" w14:textId="77777777" w:rsidR="00647C4A" w:rsidRPr="00647C4A" w:rsidRDefault="00647C4A" w:rsidP="00BC6C9A">
      <w:pPr>
        <w:pStyle w:val="Standard"/>
        <w:autoSpaceDE w:val="0"/>
        <w:jc w:val="both"/>
        <w:rPr>
          <w:rFonts w:ascii="Garamond" w:hAnsi="Garamond" w:cs="Arial"/>
          <w:bCs/>
          <w:color w:val="000000"/>
          <w:sz w:val="24"/>
          <w:szCs w:val="24"/>
        </w:rPr>
      </w:pPr>
      <w:r w:rsidRPr="00647C4A">
        <w:rPr>
          <w:rFonts w:ascii="Garamond" w:hAnsi="Garamond" w:cs="Arial"/>
          <w:bCs/>
          <w:color w:val="000000"/>
          <w:sz w:val="24"/>
          <w:szCs w:val="24"/>
        </w:rPr>
        <w:t>En ese sentido, teniendo en cuenta que las entidades públicas del orden distrital tienen dentro de su misión y propósito dar cumplimiento a los lineamientos constitucionales y legales en materia de acceso y permanencia en la educación posmedia y en procura de la materialización de lo dispuesto en el Plan de Desarrollo Distrital, los Fondos de Desarrollo Local – FDL deben cumplir con las metas planteadas en sus Planes de Desarrollo local, expedidos para la vigencia 2025 – 2028, relacionadas con los diferentes Programas de Educación Posmedia que son ofrecidos a los jóvenes de Bogotá.</w:t>
      </w:r>
    </w:p>
    <w:p w14:paraId="7E73B58D" w14:textId="74EC5901" w:rsidR="00647C4A" w:rsidRDefault="00647C4A" w:rsidP="00BC6C9A">
      <w:pPr>
        <w:pStyle w:val="Standard"/>
        <w:autoSpaceDE w:val="0"/>
        <w:jc w:val="both"/>
        <w:rPr>
          <w:rFonts w:ascii="Garamond" w:hAnsi="Garamond" w:cs="Arial"/>
          <w:bCs/>
          <w:color w:val="000000"/>
          <w:sz w:val="24"/>
          <w:szCs w:val="24"/>
        </w:rPr>
      </w:pPr>
    </w:p>
    <w:p w14:paraId="1C40CB52" w14:textId="2981F666" w:rsidR="0090765B" w:rsidRDefault="00006479" w:rsidP="0090765B">
      <w:pPr>
        <w:pStyle w:val="Standard"/>
        <w:autoSpaceDE w:val="0"/>
        <w:jc w:val="both"/>
        <w:rPr>
          <w:rFonts w:ascii="Garamond" w:hAnsi="Garamond" w:cs="Arial"/>
          <w:bCs/>
          <w:color w:val="000000"/>
          <w:sz w:val="24"/>
          <w:szCs w:val="24"/>
        </w:rPr>
      </w:pPr>
      <w:r>
        <w:rPr>
          <w:rFonts w:ascii="Garamond" w:hAnsi="Garamond" w:cs="Arial"/>
          <w:bCs/>
          <w:color w:val="000000"/>
          <w:sz w:val="24"/>
          <w:szCs w:val="24"/>
        </w:rPr>
        <w:t>Por otro lado, m</w:t>
      </w:r>
      <w:r w:rsidR="0090765B" w:rsidRPr="0090765B">
        <w:rPr>
          <w:rFonts w:ascii="Garamond" w:hAnsi="Garamond" w:cs="Arial"/>
          <w:bCs/>
          <w:color w:val="000000"/>
          <w:sz w:val="24"/>
          <w:szCs w:val="24"/>
        </w:rPr>
        <w:t>ediante el Acuerdo Nº 927 de 2024, fue adoptado el Plan Distrital de Desarrollo Económico, Social, Ambiental</w:t>
      </w:r>
      <w:r w:rsidR="007B2A83">
        <w:rPr>
          <w:rFonts w:ascii="Garamond" w:hAnsi="Garamond" w:cs="Arial"/>
          <w:bCs/>
          <w:color w:val="000000"/>
          <w:sz w:val="24"/>
          <w:szCs w:val="24"/>
        </w:rPr>
        <w:t xml:space="preserve"> y de Obras Públicas 2024 – 2027</w:t>
      </w:r>
      <w:r w:rsidR="0090765B" w:rsidRPr="0090765B">
        <w:rPr>
          <w:rFonts w:ascii="Garamond" w:hAnsi="Garamond" w:cs="Arial"/>
          <w:bCs/>
          <w:color w:val="000000"/>
          <w:sz w:val="24"/>
          <w:szCs w:val="24"/>
        </w:rPr>
        <w:t xml:space="preserve"> </w:t>
      </w:r>
      <w:r w:rsidR="0090765B" w:rsidRPr="00DA5771">
        <w:rPr>
          <w:rFonts w:ascii="Garamond" w:hAnsi="Garamond" w:cs="Arial"/>
          <w:b/>
          <w:bCs/>
          <w:color w:val="000000"/>
          <w:sz w:val="24"/>
          <w:szCs w:val="24"/>
        </w:rPr>
        <w:t>“Bogotá Camina Segura”</w:t>
      </w:r>
      <w:r w:rsidR="0090765B" w:rsidRPr="0090765B">
        <w:rPr>
          <w:rFonts w:ascii="Garamond" w:hAnsi="Garamond" w:cs="Arial"/>
          <w:bCs/>
          <w:color w:val="000000"/>
          <w:sz w:val="24"/>
          <w:szCs w:val="24"/>
        </w:rPr>
        <w:t>, cuyo objetivo está orientado a mejorar la calidad de vida de las personas garantizándoles el ejercicio pleno de sus derechos con mayor seguridad, inclusión, libertad e igualdad de oportunidades y un acceso más justo a los bienes y los servicios públicos; fortaleciendo el tejido social en un marco de construcción de confianza y colaboración, aprovechando el potencial de la sociedad y de su territorio a partir de un modelo de desarrollo comprometido con la acción climática y la integración regional.</w:t>
      </w:r>
    </w:p>
    <w:p w14:paraId="799FDEE6" w14:textId="77777777" w:rsidR="0090765B" w:rsidRPr="0090765B" w:rsidRDefault="0090765B" w:rsidP="0090765B">
      <w:pPr>
        <w:pStyle w:val="Standard"/>
        <w:autoSpaceDE w:val="0"/>
        <w:jc w:val="both"/>
        <w:rPr>
          <w:rFonts w:ascii="Garamond" w:hAnsi="Garamond" w:cs="Arial"/>
          <w:bCs/>
          <w:color w:val="000000"/>
          <w:sz w:val="24"/>
          <w:szCs w:val="24"/>
        </w:rPr>
      </w:pPr>
    </w:p>
    <w:p w14:paraId="7CC4D0B8" w14:textId="4265DBD3" w:rsidR="0090765B" w:rsidRDefault="0090765B" w:rsidP="0090765B">
      <w:pPr>
        <w:pStyle w:val="Standard"/>
        <w:autoSpaceDE w:val="0"/>
        <w:jc w:val="both"/>
        <w:rPr>
          <w:rFonts w:ascii="Garamond" w:hAnsi="Garamond" w:cs="Arial"/>
          <w:bCs/>
          <w:color w:val="000000"/>
          <w:sz w:val="24"/>
          <w:szCs w:val="24"/>
          <w:lang w:val="es-ES"/>
        </w:rPr>
      </w:pPr>
      <w:r w:rsidRPr="0090765B">
        <w:rPr>
          <w:rFonts w:ascii="Garamond" w:hAnsi="Garamond" w:cs="Arial"/>
          <w:bCs/>
          <w:color w:val="000000"/>
          <w:sz w:val="24"/>
          <w:szCs w:val="24"/>
        </w:rPr>
        <w:t>Para el cumplimiento de este objetivo, el Plan de Desarrollo Distrital planteó, a su vez, cinco objetivos estratégicos, dentro de los cuales, destaca el objetivo Nº 3: “</w:t>
      </w:r>
      <w:r w:rsidRPr="0090765B">
        <w:rPr>
          <w:rFonts w:ascii="Garamond" w:hAnsi="Garamond" w:cs="Arial"/>
          <w:b/>
          <w:bCs/>
          <w:color w:val="000000"/>
          <w:sz w:val="24"/>
          <w:szCs w:val="24"/>
        </w:rPr>
        <w:t>Bogotá confía en su potencial”</w:t>
      </w:r>
      <w:r w:rsidRPr="0090765B">
        <w:rPr>
          <w:rFonts w:ascii="Garamond" w:hAnsi="Garamond" w:cs="Arial"/>
          <w:bCs/>
          <w:color w:val="000000"/>
          <w:sz w:val="24"/>
          <w:szCs w:val="24"/>
        </w:rPr>
        <w:t>,</w:t>
      </w:r>
      <w:r w:rsidRPr="0090765B">
        <w:rPr>
          <w:rFonts w:ascii="Garamond" w:hAnsi="Garamond" w:cs="Arial"/>
          <w:b/>
          <w:bCs/>
          <w:color w:val="000000"/>
          <w:sz w:val="24"/>
          <w:szCs w:val="24"/>
        </w:rPr>
        <w:t xml:space="preserve"> </w:t>
      </w:r>
      <w:r w:rsidRPr="0090765B">
        <w:rPr>
          <w:rFonts w:ascii="Garamond" w:hAnsi="Garamond" w:cs="Arial"/>
          <w:bCs/>
          <w:color w:val="000000"/>
          <w:sz w:val="24"/>
          <w:szCs w:val="24"/>
        </w:rPr>
        <w:t xml:space="preserve">según el cual, Bogotá debe ser una ciudad en la que todos y todas puedan desarrollar y aprovechar al máximo su potencial desde su condición de personas, como miembro de una familia, y como parte importante de la sociedad, las empresas y la academia, </w:t>
      </w:r>
      <w:r w:rsidRPr="0090765B">
        <w:rPr>
          <w:rFonts w:ascii="Garamond" w:hAnsi="Garamond" w:cs="Arial"/>
          <w:bCs/>
          <w:color w:val="000000"/>
          <w:sz w:val="24"/>
          <w:szCs w:val="24"/>
          <w:lang w:val="es-ES"/>
        </w:rPr>
        <w:t>para lo cual es necesario que Bogotá se consolide como una ciudad del conocimiento, la educación y la competitividad, a partir del acceso a bienes y servicios que brinden oportunidades para todos y la adopción de la Ciencia, la Tecnología y la Innovación como motor para el aumento de la productividad, la generación de empleo y emprendimiento y el desarrollo empresarial, acorde con las vocaciones individuales fomentadas desde la niñez en el territorio, soportada en un ambiente que estimula la generación y apropiación social del conocimiento.</w:t>
      </w:r>
    </w:p>
    <w:p w14:paraId="58AF0697" w14:textId="77777777" w:rsidR="00681D79" w:rsidRPr="0090765B" w:rsidRDefault="00681D79" w:rsidP="0090765B">
      <w:pPr>
        <w:pStyle w:val="Standard"/>
        <w:autoSpaceDE w:val="0"/>
        <w:jc w:val="both"/>
        <w:rPr>
          <w:rFonts w:ascii="Garamond" w:hAnsi="Garamond" w:cs="Arial"/>
          <w:bCs/>
          <w:color w:val="000000"/>
          <w:sz w:val="24"/>
          <w:szCs w:val="24"/>
          <w:lang w:val="es-ES"/>
        </w:rPr>
      </w:pPr>
    </w:p>
    <w:p w14:paraId="25880B12" w14:textId="09E06AFE" w:rsidR="0090765B" w:rsidRDefault="0090765B" w:rsidP="002E2405">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lang w:val="es-ES"/>
        </w:rPr>
        <w:t xml:space="preserve">La materialización del objetivo estratégico antes descrito requiere de la implementación, entre otras, de </w:t>
      </w:r>
      <w:r w:rsidRPr="0090765B">
        <w:rPr>
          <w:rFonts w:ascii="Garamond" w:hAnsi="Garamond" w:cs="Arial"/>
          <w:bCs/>
          <w:color w:val="000000"/>
          <w:sz w:val="24"/>
          <w:szCs w:val="24"/>
        </w:rPr>
        <w:t xml:space="preserve">dos estrategias, a partir de las cuales: </w:t>
      </w:r>
      <w:r w:rsidRPr="0090765B">
        <w:rPr>
          <w:rFonts w:ascii="Garamond" w:hAnsi="Garamond" w:cs="Arial"/>
          <w:b/>
          <w:bCs/>
          <w:color w:val="000000"/>
          <w:sz w:val="24"/>
          <w:szCs w:val="24"/>
        </w:rPr>
        <w:t>i)</w:t>
      </w:r>
      <w:r w:rsidRPr="0090765B">
        <w:rPr>
          <w:rFonts w:ascii="Garamond" w:hAnsi="Garamond" w:cs="Arial"/>
          <w:bCs/>
          <w:color w:val="000000"/>
          <w:sz w:val="24"/>
          <w:szCs w:val="24"/>
        </w:rPr>
        <w:t xml:space="preserve"> la educación se constituirá como derecho y pilar de desarrollo para el presente y el futuro, capaz de crear una senda de aprendizaje y conocimiento acorde con los potenciales de las personas y las necesidades presentes y futuras de la ciudad; y </w:t>
      </w:r>
      <w:r w:rsidRPr="0090765B">
        <w:rPr>
          <w:rFonts w:ascii="Garamond" w:hAnsi="Garamond" w:cs="Arial"/>
          <w:b/>
          <w:bCs/>
          <w:color w:val="000000"/>
          <w:sz w:val="24"/>
          <w:szCs w:val="24"/>
        </w:rPr>
        <w:t>ii)</w:t>
      </w:r>
      <w:r w:rsidRPr="0090765B">
        <w:rPr>
          <w:rFonts w:ascii="Garamond" w:hAnsi="Garamond" w:cs="Arial"/>
          <w:bCs/>
          <w:color w:val="000000"/>
          <w:sz w:val="24"/>
          <w:szCs w:val="24"/>
        </w:rPr>
        <w:t xml:space="preserve"> se impulsará un proceso de transformación digital y de ciencia e innovación pública, que se convierta en la plataforma sobre la cual la ciudad siga siendo el motor de la productividad y generación de conocimiento del país y se proyecte como una de las ciudades más competitivas de la región.</w:t>
      </w:r>
    </w:p>
    <w:p w14:paraId="017558A3" w14:textId="77777777" w:rsidR="002E2405" w:rsidRPr="0090765B" w:rsidRDefault="002E2405" w:rsidP="002E2405">
      <w:pPr>
        <w:pStyle w:val="Standard"/>
        <w:autoSpaceDE w:val="0"/>
        <w:jc w:val="both"/>
        <w:rPr>
          <w:rFonts w:ascii="Garamond" w:hAnsi="Garamond" w:cs="Arial"/>
          <w:bCs/>
          <w:color w:val="000000"/>
          <w:sz w:val="24"/>
          <w:szCs w:val="24"/>
        </w:rPr>
      </w:pPr>
    </w:p>
    <w:p w14:paraId="6F1D7E7D" w14:textId="609F8655" w:rsidR="0090765B" w:rsidRDefault="0090765B" w:rsidP="002E2405">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 xml:space="preserve">Para el desarrollo de estas estrategias, el Plan de desarrollo Distrital establece un conjunto de programas, dentro de los cuales se encuentra el </w:t>
      </w:r>
      <w:r w:rsidRPr="0090765B">
        <w:rPr>
          <w:rFonts w:ascii="Garamond" w:hAnsi="Garamond" w:cs="Arial"/>
          <w:b/>
          <w:bCs/>
          <w:color w:val="000000"/>
          <w:sz w:val="24"/>
          <w:szCs w:val="24"/>
        </w:rPr>
        <w:t>Programa 16: La educación como eje del potencial humano”</w:t>
      </w:r>
      <w:r w:rsidRPr="0090765B">
        <w:rPr>
          <w:rFonts w:ascii="Garamond" w:hAnsi="Garamond" w:cs="Arial"/>
          <w:bCs/>
          <w:color w:val="000000"/>
          <w:sz w:val="24"/>
          <w:szCs w:val="24"/>
        </w:rPr>
        <w:t>, a partir del cual:</w:t>
      </w:r>
    </w:p>
    <w:p w14:paraId="62F14311" w14:textId="77777777" w:rsidR="002E2405" w:rsidRPr="0090765B" w:rsidRDefault="002E2405" w:rsidP="0090765B">
      <w:pPr>
        <w:pStyle w:val="Standard"/>
        <w:autoSpaceDE w:val="0"/>
        <w:rPr>
          <w:rFonts w:ascii="Garamond" w:hAnsi="Garamond" w:cs="Arial"/>
          <w:bCs/>
          <w:color w:val="000000"/>
          <w:sz w:val="24"/>
          <w:szCs w:val="24"/>
        </w:rPr>
      </w:pPr>
    </w:p>
    <w:p w14:paraId="598A7027" w14:textId="0B9B706C" w:rsidR="0090765B" w:rsidRDefault="0090765B" w:rsidP="000C1A4F">
      <w:pPr>
        <w:pStyle w:val="Standard"/>
        <w:autoSpaceDE w:val="0"/>
        <w:jc w:val="both"/>
        <w:rPr>
          <w:rFonts w:ascii="Garamond" w:hAnsi="Garamond" w:cs="Arial"/>
          <w:bCs/>
          <w:color w:val="000000"/>
          <w:sz w:val="24"/>
          <w:szCs w:val="24"/>
          <w:lang w:val="es-ES"/>
        </w:rPr>
      </w:pPr>
      <w:r w:rsidRPr="0090765B">
        <w:rPr>
          <w:rFonts w:ascii="Garamond" w:hAnsi="Garamond" w:cs="Arial"/>
          <w:bCs/>
          <w:color w:val="000000"/>
          <w:sz w:val="24"/>
          <w:szCs w:val="24"/>
          <w:lang w:val="es-ES"/>
        </w:rPr>
        <w:t xml:space="preserve">“[…] Se fortalecerán los programas y estrategias encaminadas a mejorar el acceso, permanencia y graduación en la educación posmedia, ampliando las oportunidades para que cada vez más jóvenes logren transitar desde la educación media a programas de educación superior, a la ETDH y a programas del Subsistema de formación para el trabajo, que sean pertinentes a las demandas sociales y productivas, y que se traduzcan en una mayor probabilidad de empleabilidad y generación de ingresos futuros, contribuyendo de esta forma a la construcción de una Bogotá basada en el conocimiento y la </w:t>
      </w:r>
      <w:r w:rsidRPr="0090765B">
        <w:rPr>
          <w:rFonts w:ascii="Garamond" w:hAnsi="Garamond" w:cs="Arial"/>
          <w:bCs/>
          <w:color w:val="000000"/>
          <w:sz w:val="24"/>
          <w:szCs w:val="24"/>
          <w:lang w:val="es-ES"/>
        </w:rPr>
        <w:lastRenderedPageBreak/>
        <w:t xml:space="preserve">innovación. De igual forma, se propenderá por una mejor focalización de la población beneficiaria para que más jóvenes vulnerables y con mérito académico puedan acceder a la educación posmedia. </w:t>
      </w:r>
    </w:p>
    <w:p w14:paraId="6534A657" w14:textId="77777777" w:rsidR="000C1A4F" w:rsidRPr="0090765B" w:rsidRDefault="000C1A4F" w:rsidP="0090765B">
      <w:pPr>
        <w:pStyle w:val="Standard"/>
        <w:autoSpaceDE w:val="0"/>
        <w:rPr>
          <w:rFonts w:ascii="Garamond" w:hAnsi="Garamond" w:cs="Arial"/>
          <w:bCs/>
          <w:color w:val="000000"/>
          <w:sz w:val="24"/>
          <w:szCs w:val="24"/>
          <w:lang w:val="es-ES"/>
        </w:rPr>
      </w:pPr>
    </w:p>
    <w:p w14:paraId="2EFD73FE" w14:textId="69E41DA9" w:rsidR="0090765B" w:rsidRDefault="0090765B" w:rsidP="00035BB8">
      <w:pPr>
        <w:pStyle w:val="Standard"/>
        <w:autoSpaceDE w:val="0"/>
        <w:jc w:val="both"/>
        <w:rPr>
          <w:rFonts w:ascii="Garamond" w:hAnsi="Garamond" w:cs="Arial"/>
          <w:bCs/>
          <w:color w:val="000000"/>
          <w:sz w:val="24"/>
          <w:szCs w:val="24"/>
          <w:lang w:val="es-ES"/>
        </w:rPr>
      </w:pPr>
      <w:r w:rsidRPr="0090765B">
        <w:rPr>
          <w:rFonts w:ascii="Garamond" w:hAnsi="Garamond" w:cs="Arial"/>
          <w:bCs/>
          <w:color w:val="000000"/>
          <w:sz w:val="24"/>
          <w:szCs w:val="24"/>
          <w:lang w:val="es-ES"/>
        </w:rPr>
        <w:t xml:space="preserve">Por otro lado, se establecerán mecanismos de financiación alternativos que, en conjunto con los recursos Distritales, permitirán una mayor sostenibilidad de los programas orientados a la educación posmedia. En complemento de lo anterior, se potenciarán las estrategias de permanencia para los programas mencionados y se contará con una política pública de educación superior para el Distrito, que incluirá los procesos de articulación para el mejoramiento de la infraestructura de educación superior [...]. </w:t>
      </w:r>
    </w:p>
    <w:p w14:paraId="6F52C78A" w14:textId="77777777" w:rsidR="00035BB8" w:rsidRPr="0090765B" w:rsidRDefault="00035BB8" w:rsidP="0090765B">
      <w:pPr>
        <w:pStyle w:val="Standard"/>
        <w:autoSpaceDE w:val="0"/>
        <w:rPr>
          <w:rFonts w:ascii="Garamond" w:hAnsi="Garamond" w:cs="Arial"/>
          <w:bCs/>
          <w:color w:val="000000"/>
          <w:sz w:val="24"/>
          <w:szCs w:val="24"/>
          <w:lang w:val="es-ES"/>
        </w:rPr>
      </w:pPr>
    </w:p>
    <w:p w14:paraId="4C57995C" w14:textId="2F11ECDB" w:rsidR="0090765B" w:rsidRDefault="0090765B" w:rsidP="00051C39">
      <w:pPr>
        <w:pStyle w:val="Standard"/>
        <w:autoSpaceDE w:val="0"/>
        <w:jc w:val="both"/>
        <w:rPr>
          <w:rFonts w:ascii="Garamond" w:hAnsi="Garamond" w:cs="Arial"/>
          <w:bCs/>
          <w:color w:val="000000"/>
          <w:sz w:val="24"/>
          <w:szCs w:val="24"/>
          <w:lang w:val="es-ES"/>
        </w:rPr>
      </w:pPr>
      <w:r w:rsidRPr="0090765B">
        <w:rPr>
          <w:rFonts w:ascii="Garamond" w:hAnsi="Garamond" w:cs="Arial"/>
          <w:bCs/>
          <w:color w:val="000000"/>
          <w:sz w:val="24"/>
          <w:szCs w:val="24"/>
          <w:lang w:val="es-ES"/>
        </w:rPr>
        <w:t>Los esquemas de financiación deben conectarse y articularse con la política de gratuidad nacional, para que los recursos de subsidios del Distrito se encaminen hacia el fortalecimiento de las instituciones de educación superior públicas y la ampliación de coberturas”.</w:t>
      </w:r>
    </w:p>
    <w:p w14:paraId="5DB8630D" w14:textId="77777777" w:rsidR="00051C39" w:rsidRPr="0090765B" w:rsidRDefault="00051C39" w:rsidP="00051C39">
      <w:pPr>
        <w:pStyle w:val="Standard"/>
        <w:autoSpaceDE w:val="0"/>
        <w:jc w:val="both"/>
        <w:rPr>
          <w:rFonts w:ascii="Garamond" w:hAnsi="Garamond" w:cs="Arial"/>
          <w:bCs/>
          <w:color w:val="000000"/>
          <w:sz w:val="24"/>
          <w:szCs w:val="24"/>
          <w:lang w:val="es-ES"/>
        </w:rPr>
      </w:pPr>
    </w:p>
    <w:p w14:paraId="57A34034" w14:textId="761168F7" w:rsidR="0090765B" w:rsidRDefault="0090765B" w:rsidP="00051C39">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 xml:space="preserve">Sumado a lo anterior, el Plan de desarrollo Distrital establece el </w:t>
      </w:r>
      <w:r w:rsidRPr="0090765B">
        <w:rPr>
          <w:rFonts w:ascii="Garamond" w:hAnsi="Garamond" w:cs="Arial"/>
          <w:b/>
          <w:bCs/>
          <w:color w:val="000000"/>
          <w:sz w:val="24"/>
          <w:szCs w:val="24"/>
        </w:rPr>
        <w:t>Programa 17: Formación para el trabajo y acceso a oportunidades educativas</w:t>
      </w:r>
      <w:r w:rsidRPr="0090765B">
        <w:rPr>
          <w:rFonts w:ascii="Garamond" w:hAnsi="Garamond" w:cs="Arial"/>
          <w:bCs/>
          <w:color w:val="000000"/>
          <w:sz w:val="24"/>
          <w:szCs w:val="24"/>
        </w:rPr>
        <w:t xml:space="preserve">, el cual: </w:t>
      </w:r>
    </w:p>
    <w:p w14:paraId="14F4CF02" w14:textId="77777777" w:rsidR="00522480" w:rsidRPr="0090765B" w:rsidRDefault="00522480" w:rsidP="00051C39">
      <w:pPr>
        <w:pStyle w:val="Standard"/>
        <w:autoSpaceDE w:val="0"/>
        <w:jc w:val="both"/>
        <w:rPr>
          <w:rFonts w:ascii="Garamond" w:hAnsi="Garamond" w:cs="Arial"/>
          <w:bCs/>
          <w:color w:val="000000"/>
          <w:sz w:val="24"/>
          <w:szCs w:val="24"/>
        </w:rPr>
      </w:pPr>
    </w:p>
    <w:p w14:paraId="2CE2E64E" w14:textId="59B3F584" w:rsidR="0090765B" w:rsidRDefault="0090765B" w:rsidP="00522480">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 busca ofrecer cursos cortos de formación considerando las demandas de las cadenas productivas, los ecosistemas de innovación y emprendimiento empresarial, tanto locales como regionales, a través de una red de actores compuesta por los sectores público, privado, empresarial y la academia que redunde en la ampliación y reestructuración de la oferta y acceso a la financiación a los programas de educación posmedia, como preámbulo a su vínculo laboral y productivo en la ciudad.</w:t>
      </w:r>
    </w:p>
    <w:p w14:paraId="67DEA5DD" w14:textId="77777777" w:rsidR="00C53D71" w:rsidRPr="0090765B" w:rsidRDefault="00C53D71" w:rsidP="00522480">
      <w:pPr>
        <w:pStyle w:val="Standard"/>
        <w:autoSpaceDE w:val="0"/>
        <w:jc w:val="both"/>
        <w:rPr>
          <w:rFonts w:ascii="Garamond" w:hAnsi="Garamond" w:cs="Arial"/>
          <w:bCs/>
          <w:color w:val="000000"/>
          <w:sz w:val="24"/>
          <w:szCs w:val="24"/>
        </w:rPr>
      </w:pPr>
    </w:p>
    <w:p w14:paraId="7123E266" w14:textId="65734B86" w:rsidR="0090765B" w:rsidRPr="0090765B" w:rsidRDefault="0090765B" w:rsidP="00C53D71">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Para ello, se generarán mecanismos alternativos de recursos que favorezcan principalmente a jóvenes que transitan de forma inmediata desde la educación media. Se les brindará ofertas institucionales de transferencias monetarias (principalmente condicionadas […]); implementación de esquemas unificados de focalización en las iniciativas de inclusión social y productiva; mecanismos de sostenimiento que permitan culminar satisfactoriamente los estudios, y rutas claras de empleo y empleabilidad, a fin de que la trayectoria educativa culmine hacia oficios, ocupaciones o profesiones que incrementen las posibilidades de empleabilidad.</w:t>
      </w:r>
      <w:r w:rsidR="000E47C2">
        <w:rPr>
          <w:rFonts w:ascii="Garamond" w:hAnsi="Garamond" w:cs="Arial"/>
          <w:bCs/>
          <w:color w:val="000000"/>
          <w:sz w:val="24"/>
          <w:szCs w:val="24"/>
        </w:rPr>
        <w:t xml:space="preserve"> </w:t>
      </w:r>
      <w:r w:rsidRPr="0090765B">
        <w:rPr>
          <w:rFonts w:ascii="Garamond" w:hAnsi="Garamond" w:cs="Arial"/>
          <w:bCs/>
          <w:color w:val="000000"/>
          <w:sz w:val="24"/>
          <w:szCs w:val="24"/>
        </w:rPr>
        <w:t>[…]</w:t>
      </w:r>
    </w:p>
    <w:p w14:paraId="3DCDF759" w14:textId="77777777" w:rsidR="000E47C2" w:rsidRDefault="000E47C2" w:rsidP="00C53D71">
      <w:pPr>
        <w:pStyle w:val="Standard"/>
        <w:autoSpaceDE w:val="0"/>
        <w:jc w:val="both"/>
        <w:rPr>
          <w:rFonts w:ascii="Garamond" w:hAnsi="Garamond" w:cs="Arial"/>
          <w:bCs/>
          <w:color w:val="000000"/>
          <w:sz w:val="24"/>
          <w:szCs w:val="24"/>
        </w:rPr>
      </w:pPr>
    </w:p>
    <w:p w14:paraId="17A9F331" w14:textId="4D91BAB9" w:rsidR="0090765B" w:rsidRPr="0090765B" w:rsidRDefault="0090765B" w:rsidP="00C53D71">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Igualmente, se desarrollarán servicios de formación y modelos de aprendizaje adaptativos para la recualificación y/o reconversión laboral de las personas hacia los sectores más dinámicos del mercado de trabajo, así como la formación para proyectos de base tecnológica basados en nuevas tecnologías.</w:t>
      </w:r>
      <w:r w:rsidR="000E47C2">
        <w:rPr>
          <w:rFonts w:ascii="Garamond" w:hAnsi="Garamond" w:cs="Arial"/>
          <w:bCs/>
          <w:color w:val="000000"/>
          <w:sz w:val="24"/>
          <w:szCs w:val="24"/>
        </w:rPr>
        <w:t xml:space="preserve"> </w:t>
      </w:r>
      <w:r w:rsidRPr="0090765B">
        <w:rPr>
          <w:rFonts w:ascii="Garamond" w:hAnsi="Garamond" w:cs="Arial"/>
          <w:bCs/>
          <w:color w:val="000000"/>
          <w:sz w:val="24"/>
          <w:szCs w:val="24"/>
        </w:rPr>
        <w:t>[…]</w:t>
      </w:r>
    </w:p>
    <w:p w14:paraId="47F47BA4" w14:textId="0E2968A3" w:rsidR="0090765B" w:rsidRDefault="0090765B" w:rsidP="00C53D71">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Esto también se logrará con ofertas cualificadas de ETDH, por lo que es necesario acompañar estas estrategias con un modelo de aseguramiento para este nivel de educación que lo encamine hacia la calidad.</w:t>
      </w:r>
      <w:r w:rsidR="000E47C2">
        <w:rPr>
          <w:rFonts w:ascii="Garamond" w:hAnsi="Garamond" w:cs="Arial"/>
          <w:bCs/>
          <w:color w:val="000000"/>
          <w:sz w:val="24"/>
          <w:szCs w:val="24"/>
        </w:rPr>
        <w:t xml:space="preserve"> </w:t>
      </w:r>
      <w:r w:rsidRPr="0090765B">
        <w:rPr>
          <w:rFonts w:ascii="Garamond" w:hAnsi="Garamond" w:cs="Arial"/>
          <w:bCs/>
          <w:color w:val="000000"/>
          <w:sz w:val="24"/>
          <w:szCs w:val="24"/>
        </w:rPr>
        <w:t>[…]</w:t>
      </w:r>
    </w:p>
    <w:p w14:paraId="659FF7AD" w14:textId="77777777" w:rsidR="000E47C2" w:rsidRPr="0090765B" w:rsidRDefault="000E47C2" w:rsidP="00C53D71">
      <w:pPr>
        <w:pStyle w:val="Standard"/>
        <w:autoSpaceDE w:val="0"/>
        <w:jc w:val="both"/>
        <w:rPr>
          <w:rFonts w:ascii="Garamond" w:hAnsi="Garamond" w:cs="Arial"/>
          <w:bCs/>
          <w:color w:val="000000"/>
          <w:sz w:val="24"/>
          <w:szCs w:val="24"/>
        </w:rPr>
      </w:pPr>
    </w:p>
    <w:p w14:paraId="0938256A" w14:textId="4B718D37" w:rsidR="0090765B" w:rsidRDefault="0090765B" w:rsidP="00C53D71">
      <w:pPr>
        <w:pStyle w:val="Standard"/>
        <w:autoSpaceDE w:val="0"/>
        <w:jc w:val="both"/>
        <w:rPr>
          <w:rFonts w:ascii="Garamond" w:hAnsi="Garamond" w:cs="Arial"/>
          <w:bCs/>
          <w:color w:val="000000"/>
          <w:sz w:val="24"/>
          <w:szCs w:val="24"/>
        </w:rPr>
      </w:pPr>
      <w:commentRangeStart w:id="0"/>
      <w:r w:rsidRPr="0090765B">
        <w:rPr>
          <w:rFonts w:ascii="Garamond" w:hAnsi="Garamond" w:cs="Arial"/>
          <w:bCs/>
          <w:color w:val="000000"/>
          <w:sz w:val="24"/>
          <w:szCs w:val="24"/>
        </w:rPr>
        <w:t xml:space="preserve">En el marco de los Programas previamente descritos, el Plan de desarrollo Distrital planteó los trazó las metas que se describen a continuación: </w:t>
      </w:r>
      <w:commentRangeEnd w:id="0"/>
      <w:r w:rsidR="00863D43">
        <w:rPr>
          <w:rStyle w:val="Refdecomentario"/>
          <w:kern w:val="0"/>
          <w:lang w:eastAsia="es-ES"/>
        </w:rPr>
        <w:commentReference w:id="0"/>
      </w:r>
    </w:p>
    <w:p w14:paraId="5E4342F5" w14:textId="77777777" w:rsidR="00851625" w:rsidRPr="0090765B" w:rsidRDefault="00851625" w:rsidP="00C53D71">
      <w:pPr>
        <w:pStyle w:val="Standard"/>
        <w:autoSpaceDE w:val="0"/>
        <w:jc w:val="both"/>
        <w:rPr>
          <w:rFonts w:ascii="Garamond" w:hAnsi="Garamond" w:cs="Arial"/>
          <w:bCs/>
          <w:color w:val="000000"/>
          <w:sz w:val="24"/>
          <w:szCs w:val="24"/>
        </w:rPr>
      </w:pPr>
    </w:p>
    <w:tbl>
      <w:tblPr>
        <w:tblStyle w:val="Tablaconcuadrcula"/>
        <w:tblW w:w="0" w:type="auto"/>
        <w:jc w:val="center"/>
        <w:tblLook w:val="04A0" w:firstRow="1" w:lastRow="0" w:firstColumn="1" w:lastColumn="0" w:noHBand="0" w:noVBand="1"/>
      </w:tblPr>
      <w:tblGrid>
        <w:gridCol w:w="1390"/>
        <w:gridCol w:w="1611"/>
        <w:gridCol w:w="2399"/>
        <w:gridCol w:w="2234"/>
        <w:gridCol w:w="1226"/>
      </w:tblGrid>
      <w:tr w:rsidR="0090765B" w:rsidRPr="0090765B" w14:paraId="62B5D13A" w14:textId="77777777" w:rsidTr="00B12669">
        <w:trPr>
          <w:jc w:val="center"/>
        </w:trPr>
        <w:tc>
          <w:tcPr>
            <w:tcW w:w="1390" w:type="dxa"/>
            <w:shd w:val="clear" w:color="auto" w:fill="D9D9D9" w:themeFill="background1" w:themeFillShade="D9"/>
            <w:vAlign w:val="center"/>
          </w:tcPr>
          <w:p w14:paraId="49FFF706" w14:textId="77777777" w:rsidR="0090765B" w:rsidRPr="0090765B" w:rsidRDefault="0090765B" w:rsidP="00851625">
            <w:pPr>
              <w:pStyle w:val="Standard"/>
              <w:autoSpaceDE w:val="0"/>
              <w:jc w:val="center"/>
              <w:rPr>
                <w:rFonts w:ascii="Garamond" w:hAnsi="Garamond" w:cs="Arial"/>
                <w:b/>
                <w:bCs/>
                <w:color w:val="000000"/>
                <w:sz w:val="24"/>
                <w:szCs w:val="24"/>
              </w:rPr>
            </w:pPr>
            <w:r w:rsidRPr="0090765B">
              <w:rPr>
                <w:rFonts w:ascii="Garamond" w:hAnsi="Garamond" w:cs="Arial"/>
                <w:b/>
                <w:bCs/>
                <w:color w:val="000000"/>
                <w:sz w:val="24"/>
                <w:szCs w:val="24"/>
              </w:rPr>
              <w:t>Objetivo estratégico</w:t>
            </w:r>
          </w:p>
        </w:tc>
        <w:tc>
          <w:tcPr>
            <w:tcW w:w="1611" w:type="dxa"/>
            <w:shd w:val="clear" w:color="auto" w:fill="D9D9D9" w:themeFill="background1" w:themeFillShade="D9"/>
            <w:vAlign w:val="center"/>
          </w:tcPr>
          <w:p w14:paraId="7BB47EC3" w14:textId="77777777" w:rsidR="0090765B" w:rsidRPr="0090765B" w:rsidRDefault="0090765B" w:rsidP="00851625">
            <w:pPr>
              <w:pStyle w:val="Standard"/>
              <w:autoSpaceDE w:val="0"/>
              <w:jc w:val="center"/>
              <w:rPr>
                <w:rFonts w:ascii="Garamond" w:hAnsi="Garamond" w:cs="Arial"/>
                <w:b/>
                <w:bCs/>
                <w:color w:val="000000"/>
                <w:sz w:val="24"/>
                <w:szCs w:val="24"/>
              </w:rPr>
            </w:pPr>
            <w:r w:rsidRPr="0090765B">
              <w:rPr>
                <w:rFonts w:ascii="Garamond" w:hAnsi="Garamond" w:cs="Arial"/>
                <w:b/>
                <w:bCs/>
                <w:color w:val="000000"/>
                <w:sz w:val="24"/>
                <w:szCs w:val="24"/>
              </w:rPr>
              <w:t>Programas</w:t>
            </w:r>
          </w:p>
        </w:tc>
        <w:tc>
          <w:tcPr>
            <w:tcW w:w="2399" w:type="dxa"/>
            <w:shd w:val="clear" w:color="auto" w:fill="D9D9D9" w:themeFill="background1" w:themeFillShade="D9"/>
            <w:vAlign w:val="center"/>
          </w:tcPr>
          <w:p w14:paraId="566FFA05" w14:textId="77777777" w:rsidR="0090765B" w:rsidRPr="0090765B" w:rsidRDefault="0090765B" w:rsidP="00851625">
            <w:pPr>
              <w:pStyle w:val="Standard"/>
              <w:autoSpaceDE w:val="0"/>
              <w:jc w:val="center"/>
              <w:rPr>
                <w:rFonts w:ascii="Garamond" w:hAnsi="Garamond" w:cs="Arial"/>
                <w:b/>
                <w:bCs/>
                <w:color w:val="000000"/>
                <w:sz w:val="24"/>
                <w:szCs w:val="24"/>
              </w:rPr>
            </w:pPr>
            <w:r w:rsidRPr="0090765B">
              <w:rPr>
                <w:rFonts w:ascii="Garamond" w:hAnsi="Garamond" w:cs="Arial"/>
                <w:b/>
                <w:bCs/>
                <w:color w:val="000000"/>
                <w:sz w:val="24"/>
                <w:szCs w:val="24"/>
              </w:rPr>
              <w:t>Meta</w:t>
            </w:r>
          </w:p>
        </w:tc>
        <w:tc>
          <w:tcPr>
            <w:tcW w:w="2234" w:type="dxa"/>
            <w:shd w:val="clear" w:color="auto" w:fill="D9D9D9" w:themeFill="background1" w:themeFillShade="D9"/>
            <w:vAlign w:val="center"/>
          </w:tcPr>
          <w:p w14:paraId="20D78356" w14:textId="77777777" w:rsidR="0090765B" w:rsidRPr="0090765B" w:rsidRDefault="0090765B" w:rsidP="00851625">
            <w:pPr>
              <w:pStyle w:val="Standard"/>
              <w:autoSpaceDE w:val="0"/>
              <w:jc w:val="center"/>
              <w:rPr>
                <w:rFonts w:ascii="Garamond" w:hAnsi="Garamond" w:cs="Arial"/>
                <w:b/>
                <w:bCs/>
                <w:color w:val="000000"/>
                <w:sz w:val="24"/>
                <w:szCs w:val="24"/>
              </w:rPr>
            </w:pPr>
            <w:r w:rsidRPr="0090765B">
              <w:rPr>
                <w:rFonts w:ascii="Garamond" w:hAnsi="Garamond" w:cs="Arial"/>
                <w:b/>
                <w:bCs/>
                <w:color w:val="000000"/>
                <w:sz w:val="24"/>
                <w:szCs w:val="24"/>
              </w:rPr>
              <w:t>Indicador</w:t>
            </w:r>
          </w:p>
        </w:tc>
        <w:tc>
          <w:tcPr>
            <w:tcW w:w="1194" w:type="dxa"/>
            <w:shd w:val="clear" w:color="auto" w:fill="D9D9D9" w:themeFill="background1" w:themeFillShade="D9"/>
            <w:vAlign w:val="center"/>
          </w:tcPr>
          <w:p w14:paraId="06D634D7" w14:textId="77777777" w:rsidR="0090765B" w:rsidRPr="0090765B" w:rsidRDefault="0090765B" w:rsidP="00851625">
            <w:pPr>
              <w:pStyle w:val="Standard"/>
              <w:autoSpaceDE w:val="0"/>
              <w:jc w:val="center"/>
              <w:rPr>
                <w:rFonts w:ascii="Garamond" w:hAnsi="Garamond" w:cs="Arial"/>
                <w:b/>
                <w:bCs/>
                <w:color w:val="000000"/>
                <w:sz w:val="24"/>
                <w:szCs w:val="24"/>
              </w:rPr>
            </w:pPr>
            <w:r w:rsidRPr="0090765B">
              <w:rPr>
                <w:rFonts w:ascii="Garamond" w:hAnsi="Garamond" w:cs="Arial"/>
                <w:b/>
                <w:bCs/>
                <w:color w:val="000000"/>
                <w:sz w:val="24"/>
                <w:szCs w:val="24"/>
              </w:rPr>
              <w:t>Magnitud</w:t>
            </w:r>
          </w:p>
        </w:tc>
      </w:tr>
      <w:tr w:rsidR="0090765B" w:rsidRPr="0090765B" w14:paraId="2F62E34F" w14:textId="77777777" w:rsidTr="00851625">
        <w:trPr>
          <w:jc w:val="center"/>
        </w:trPr>
        <w:tc>
          <w:tcPr>
            <w:tcW w:w="1390" w:type="dxa"/>
            <w:vMerge w:val="restart"/>
            <w:vAlign w:val="center"/>
          </w:tcPr>
          <w:p w14:paraId="742895F4" w14:textId="77777777" w:rsidR="0090765B" w:rsidRPr="0090765B" w:rsidRDefault="0090765B" w:rsidP="0090765B">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3. Bogotá confía en su potencial</w:t>
            </w:r>
          </w:p>
        </w:tc>
        <w:tc>
          <w:tcPr>
            <w:tcW w:w="1611" w:type="dxa"/>
            <w:vAlign w:val="center"/>
          </w:tcPr>
          <w:p w14:paraId="540DA375" w14:textId="77777777" w:rsidR="0090765B" w:rsidRPr="0090765B" w:rsidRDefault="0090765B" w:rsidP="0090765B">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16. La educación como eje del potencial humano</w:t>
            </w:r>
          </w:p>
        </w:tc>
        <w:tc>
          <w:tcPr>
            <w:tcW w:w="2399" w:type="dxa"/>
          </w:tcPr>
          <w:p w14:paraId="2A44960C" w14:textId="77777777" w:rsidR="0090765B" w:rsidRPr="0090765B" w:rsidRDefault="0090765B" w:rsidP="0090765B">
            <w:pPr>
              <w:pStyle w:val="Standard"/>
              <w:autoSpaceDE w:val="0"/>
              <w:rPr>
                <w:rFonts w:ascii="Garamond" w:hAnsi="Garamond" w:cs="Arial"/>
                <w:bCs/>
                <w:color w:val="000000"/>
                <w:sz w:val="24"/>
                <w:szCs w:val="24"/>
                <w:lang w:val="es-MX"/>
              </w:rPr>
            </w:pPr>
            <w:r w:rsidRPr="0090765B">
              <w:rPr>
                <w:rFonts w:ascii="Garamond" w:hAnsi="Garamond" w:cs="Arial"/>
                <w:bCs/>
                <w:color w:val="000000"/>
                <w:sz w:val="24"/>
                <w:szCs w:val="24"/>
                <w:lang w:val="es-MX"/>
              </w:rPr>
              <w:t>Ofrecer 32.000 cupos en las estrategias de acceso y permanencia en la educación superior y posmedia; de los cuales 22.000 cupos serán para educación superior y 10.000 cupos para educación para el trabajo y el desarrollo humano.</w:t>
            </w:r>
          </w:p>
        </w:tc>
        <w:tc>
          <w:tcPr>
            <w:tcW w:w="2234" w:type="dxa"/>
          </w:tcPr>
          <w:p w14:paraId="243D1C55" w14:textId="146E63F2" w:rsidR="0090765B" w:rsidRPr="0090765B" w:rsidRDefault="0090765B" w:rsidP="0090765B">
            <w:pPr>
              <w:pStyle w:val="Standard"/>
              <w:rPr>
                <w:rFonts w:ascii="Garamond" w:hAnsi="Garamond" w:cs="Arial"/>
                <w:bCs/>
                <w:color w:val="000000"/>
                <w:sz w:val="24"/>
                <w:szCs w:val="24"/>
                <w:lang w:val="es-MX"/>
              </w:rPr>
            </w:pPr>
            <w:r w:rsidRPr="0090765B">
              <w:rPr>
                <w:rFonts w:ascii="Garamond" w:hAnsi="Garamond" w:cs="Arial"/>
                <w:bCs/>
                <w:color w:val="000000"/>
                <w:sz w:val="24"/>
                <w:szCs w:val="24"/>
                <w:lang w:val="es-MX"/>
              </w:rPr>
              <w:t xml:space="preserve">Numero de </w:t>
            </w:r>
            <w:r w:rsidR="00D93B57" w:rsidRPr="0090765B">
              <w:rPr>
                <w:rFonts w:ascii="Garamond" w:hAnsi="Garamond" w:cs="Arial"/>
                <w:bCs/>
                <w:color w:val="000000"/>
                <w:sz w:val="24"/>
                <w:szCs w:val="24"/>
                <w:lang w:val="es-MX"/>
              </w:rPr>
              <w:t>jóvenes</w:t>
            </w:r>
            <w:r w:rsidRPr="0090765B">
              <w:rPr>
                <w:rFonts w:ascii="Garamond" w:hAnsi="Garamond" w:cs="Arial"/>
                <w:bCs/>
                <w:color w:val="000000"/>
                <w:sz w:val="24"/>
                <w:szCs w:val="24"/>
                <w:lang w:val="es-MX"/>
              </w:rPr>
              <w:t xml:space="preserve"> que se benefician con programas de acceso a formación posmedia</w:t>
            </w:r>
          </w:p>
          <w:p w14:paraId="5774B7C7" w14:textId="77777777" w:rsidR="0090765B" w:rsidRPr="0090765B" w:rsidRDefault="0090765B" w:rsidP="0090765B">
            <w:pPr>
              <w:pStyle w:val="Standard"/>
              <w:autoSpaceDE w:val="0"/>
              <w:rPr>
                <w:rFonts w:ascii="Garamond" w:hAnsi="Garamond" w:cs="Arial"/>
                <w:bCs/>
                <w:color w:val="000000"/>
                <w:sz w:val="24"/>
                <w:szCs w:val="24"/>
                <w:lang w:val="es-MX"/>
              </w:rPr>
            </w:pPr>
          </w:p>
        </w:tc>
        <w:tc>
          <w:tcPr>
            <w:tcW w:w="1194" w:type="dxa"/>
            <w:vAlign w:val="center"/>
          </w:tcPr>
          <w:p w14:paraId="33BB3166" w14:textId="77777777" w:rsidR="0090765B" w:rsidRPr="0090765B" w:rsidRDefault="0090765B" w:rsidP="0090765B">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32.000</w:t>
            </w:r>
          </w:p>
        </w:tc>
      </w:tr>
      <w:tr w:rsidR="0090765B" w:rsidRPr="0090765B" w14:paraId="0B0DBBDE" w14:textId="77777777" w:rsidTr="00851625">
        <w:trPr>
          <w:jc w:val="center"/>
        </w:trPr>
        <w:tc>
          <w:tcPr>
            <w:tcW w:w="1390" w:type="dxa"/>
            <w:vMerge/>
            <w:vAlign w:val="center"/>
          </w:tcPr>
          <w:p w14:paraId="7FB70B96" w14:textId="77777777" w:rsidR="0090765B" w:rsidRPr="0090765B" w:rsidRDefault="0090765B" w:rsidP="0090765B">
            <w:pPr>
              <w:pStyle w:val="Standard"/>
              <w:autoSpaceDE w:val="0"/>
              <w:jc w:val="both"/>
              <w:rPr>
                <w:rFonts w:ascii="Garamond" w:hAnsi="Garamond" w:cs="Arial"/>
                <w:bCs/>
                <w:color w:val="000000"/>
                <w:sz w:val="24"/>
                <w:szCs w:val="24"/>
              </w:rPr>
            </w:pPr>
          </w:p>
        </w:tc>
        <w:tc>
          <w:tcPr>
            <w:tcW w:w="1611" w:type="dxa"/>
            <w:vAlign w:val="center"/>
          </w:tcPr>
          <w:p w14:paraId="2C447B0B" w14:textId="77777777" w:rsidR="0090765B" w:rsidRPr="0090765B" w:rsidRDefault="0090765B" w:rsidP="0090765B">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17. Formación para el trabajo y acceso a oportunidades educativas</w:t>
            </w:r>
          </w:p>
        </w:tc>
        <w:tc>
          <w:tcPr>
            <w:tcW w:w="2399" w:type="dxa"/>
          </w:tcPr>
          <w:p w14:paraId="5A313115" w14:textId="77777777" w:rsidR="0090765B" w:rsidRPr="0090765B" w:rsidRDefault="0090765B" w:rsidP="0090765B">
            <w:pPr>
              <w:pStyle w:val="Standard"/>
              <w:autoSpaceDE w:val="0"/>
              <w:rPr>
                <w:rFonts w:ascii="Garamond" w:hAnsi="Garamond" w:cs="Arial"/>
                <w:bCs/>
                <w:color w:val="000000"/>
                <w:sz w:val="24"/>
                <w:szCs w:val="24"/>
                <w:lang w:val="es-MX"/>
              </w:rPr>
            </w:pPr>
            <w:r w:rsidRPr="0090765B">
              <w:rPr>
                <w:rFonts w:ascii="Garamond" w:hAnsi="Garamond" w:cs="Arial"/>
                <w:bCs/>
                <w:color w:val="000000"/>
                <w:sz w:val="24"/>
                <w:szCs w:val="24"/>
                <w:lang w:val="es-MX"/>
              </w:rPr>
              <w:t>Ofrecer 20.000 cupos de formación posmedia en cursos cortos orientados a jóvenes con potencial.</w:t>
            </w:r>
          </w:p>
        </w:tc>
        <w:tc>
          <w:tcPr>
            <w:tcW w:w="2234" w:type="dxa"/>
          </w:tcPr>
          <w:p w14:paraId="2C34D589" w14:textId="77777777" w:rsidR="0090765B" w:rsidRPr="0090765B" w:rsidRDefault="0090765B" w:rsidP="0090765B">
            <w:pPr>
              <w:pStyle w:val="Standard"/>
              <w:autoSpaceDE w:val="0"/>
              <w:rPr>
                <w:rFonts w:ascii="Garamond" w:hAnsi="Garamond" w:cs="Arial"/>
                <w:bCs/>
                <w:color w:val="000000"/>
                <w:sz w:val="24"/>
                <w:szCs w:val="24"/>
                <w:lang w:val="es-MX"/>
              </w:rPr>
            </w:pPr>
            <w:r w:rsidRPr="0090765B">
              <w:rPr>
                <w:rFonts w:ascii="Garamond" w:hAnsi="Garamond" w:cs="Arial"/>
                <w:bCs/>
                <w:color w:val="000000"/>
                <w:sz w:val="24"/>
                <w:szCs w:val="24"/>
                <w:lang w:val="es-MX"/>
              </w:rPr>
              <w:t>Número de jóvenes con potencial en programas de formación posmedia de cursos cortos</w:t>
            </w:r>
          </w:p>
        </w:tc>
        <w:tc>
          <w:tcPr>
            <w:tcW w:w="1194" w:type="dxa"/>
            <w:vAlign w:val="center"/>
          </w:tcPr>
          <w:p w14:paraId="01F0B99F" w14:textId="77777777" w:rsidR="0090765B" w:rsidRPr="0090765B" w:rsidRDefault="0090765B" w:rsidP="0090765B">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20.000</w:t>
            </w:r>
          </w:p>
        </w:tc>
      </w:tr>
    </w:tbl>
    <w:p w14:paraId="28ECE27C" w14:textId="77777777" w:rsidR="0090765B" w:rsidRPr="0090765B" w:rsidRDefault="0090765B" w:rsidP="0090765B">
      <w:pPr>
        <w:pStyle w:val="Standard"/>
        <w:autoSpaceDE w:val="0"/>
        <w:rPr>
          <w:rFonts w:ascii="Garamond" w:hAnsi="Garamond" w:cs="Arial"/>
          <w:bCs/>
          <w:color w:val="000000"/>
          <w:sz w:val="24"/>
          <w:szCs w:val="24"/>
        </w:rPr>
      </w:pPr>
    </w:p>
    <w:p w14:paraId="22B96750" w14:textId="77777777" w:rsidR="0090765B" w:rsidRPr="0090765B" w:rsidRDefault="0090765B" w:rsidP="0064327D">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 xml:space="preserve">En relación con la financiación de estos programas, el artículo 12 del Acuerdo 927 de 2024, estipula que:  </w:t>
      </w:r>
    </w:p>
    <w:p w14:paraId="3DBD1C1A" w14:textId="3EEBC915" w:rsidR="0090765B" w:rsidRDefault="0090765B" w:rsidP="0064327D">
      <w:pPr>
        <w:pStyle w:val="Standard"/>
        <w:autoSpaceDE w:val="0"/>
        <w:jc w:val="both"/>
        <w:rPr>
          <w:rFonts w:ascii="Garamond" w:hAnsi="Garamond" w:cs="Arial"/>
          <w:bCs/>
          <w:color w:val="000000"/>
          <w:sz w:val="24"/>
          <w:szCs w:val="24"/>
        </w:rPr>
      </w:pPr>
      <w:r w:rsidRPr="0090765B">
        <w:rPr>
          <w:rFonts w:ascii="Garamond" w:hAnsi="Garamond" w:cs="Arial"/>
          <w:bCs/>
          <w:i/>
          <w:iCs/>
          <w:color w:val="000000"/>
          <w:sz w:val="24"/>
          <w:szCs w:val="24"/>
        </w:rPr>
        <w:t>“[…] se establecerán mecanismos de financiación alternativos que, en conjunto con los recursos Distritales, permitirán una mayor sostenibilidad de los programas orientados a la educación posmedia. En complemento de lo anterior, se potencializarán las estrategias de permanencia para los programas mencionados y se contará con una política pública de educación superior para el Distrito, que incluirá los procesos de articulación para el mejoramiento de la infraestructura de educación superior en conjunto con el Gobierno nacional. Los esquemas de financiación deben conectarse y articularse con la política de gratuidad nacional, para que los recursos de subsidios del Distrito se encaminen hacia el fortalecimiento de las instituciones de educación superior públicas y la ampliación de coberturas, lo que se suma a las estrategias para fortalecer la Universidad Distrital y fomentar planes de mejoramiento que le permitan enfocar sus esfuerzos en la oferta de programas con mayor demanda”.</w:t>
      </w:r>
      <w:r w:rsidRPr="0090765B">
        <w:rPr>
          <w:rFonts w:ascii="Garamond" w:hAnsi="Garamond" w:cs="Arial"/>
          <w:bCs/>
          <w:color w:val="000000"/>
          <w:sz w:val="24"/>
          <w:szCs w:val="24"/>
        </w:rPr>
        <w:t xml:space="preserve"> </w:t>
      </w:r>
    </w:p>
    <w:p w14:paraId="768DF7E1" w14:textId="77777777" w:rsidR="00CF0DB6" w:rsidRPr="0090765B" w:rsidRDefault="00CF0DB6" w:rsidP="0064327D">
      <w:pPr>
        <w:pStyle w:val="Standard"/>
        <w:autoSpaceDE w:val="0"/>
        <w:jc w:val="both"/>
        <w:rPr>
          <w:rFonts w:ascii="Garamond" w:hAnsi="Garamond" w:cs="Arial"/>
          <w:bCs/>
          <w:color w:val="000000"/>
          <w:sz w:val="24"/>
          <w:szCs w:val="24"/>
        </w:rPr>
      </w:pPr>
    </w:p>
    <w:p w14:paraId="1AEBDDD6" w14:textId="044DEF4F" w:rsidR="0090765B" w:rsidRDefault="0090765B" w:rsidP="00CF0DB6">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 xml:space="preserve">El financiamiento de las Instituciones de Educación Superior (IES) públicas en Colombia ha evolucionado a través de un marco normativo y de política pública orientado a garantizar la calidad, </w:t>
      </w:r>
      <w:r w:rsidRPr="0090765B">
        <w:rPr>
          <w:rFonts w:ascii="Garamond" w:hAnsi="Garamond" w:cs="Arial"/>
          <w:bCs/>
          <w:color w:val="000000"/>
          <w:sz w:val="24"/>
          <w:szCs w:val="24"/>
        </w:rPr>
        <w:lastRenderedPageBreak/>
        <w:t>sostenibilidad y pertinencia de la educación superior. Si bien el nivel nacional asegura los recursos necesarios para su operación y sostenibilidad a través de normativas como la Ley 30 de 1992, la Ley 115 de 1994 y el Decreto 1075 de 2015, estas mismas normativas han permitido complementar estos esfuerzos al promover la participación de las entidades territoriales en el fortalecimiento del sistema educativo superior. Esta articulación entre niveles busca potenciar los recursos, mejorar la infraestructura, y adaptar la oferta educativa a las necesidades locales, fortaleciendo así la conexión entre la educación superior, el mercado laboral y las prioridades sociales de cada región. </w:t>
      </w:r>
    </w:p>
    <w:p w14:paraId="3CE267D1" w14:textId="77777777" w:rsidR="00CF0DB6" w:rsidRPr="0090765B" w:rsidRDefault="00CF0DB6" w:rsidP="00CF0DB6">
      <w:pPr>
        <w:pStyle w:val="Standard"/>
        <w:autoSpaceDE w:val="0"/>
        <w:jc w:val="both"/>
        <w:rPr>
          <w:rFonts w:ascii="Garamond" w:hAnsi="Garamond" w:cs="Arial"/>
          <w:bCs/>
          <w:color w:val="000000"/>
          <w:sz w:val="24"/>
          <w:szCs w:val="24"/>
        </w:rPr>
      </w:pPr>
    </w:p>
    <w:p w14:paraId="65AA285E" w14:textId="2A9D21AE" w:rsidR="0090765B" w:rsidRDefault="0090765B" w:rsidP="00CF0DB6">
      <w:pPr>
        <w:pStyle w:val="Standard"/>
        <w:autoSpaceDE w:val="0"/>
        <w:jc w:val="both"/>
        <w:rPr>
          <w:rFonts w:ascii="Garamond" w:hAnsi="Garamond" w:cs="Arial"/>
          <w:bCs/>
          <w:color w:val="000000"/>
          <w:sz w:val="24"/>
          <w:szCs w:val="24"/>
        </w:rPr>
      </w:pPr>
      <w:r w:rsidRPr="0090765B">
        <w:rPr>
          <w:rFonts w:ascii="Garamond" w:hAnsi="Garamond" w:cs="Arial"/>
          <w:bCs/>
          <w:color w:val="000000"/>
          <w:sz w:val="24"/>
          <w:szCs w:val="24"/>
        </w:rPr>
        <w:t xml:space="preserve">A nivel distrital, se han realizado esfuerzos significativos para garantizar el acceso de los jóvenes a la educación superior. Estas iniciativas se han centrado principalmente en fomentar la financiación de programas en la IES públicas y ofrecer apoyos económicos que permitan a los jóvenes superar las barreras de acceso. Estos esfuerzos, han buscado ampliar el acceso a estas instituciones superando barreras económicas y sociales. A través de fondos como el FEST (Fondo Distrital para la Financiación de la Educación Superior) y los Fondos de Desarrollo Local (FDL), el Distrito ha logrado financiar el acceso a la educación superior, contribuyendo a la ampliación de la cobertura educativa. </w:t>
      </w:r>
    </w:p>
    <w:p w14:paraId="59225F84" w14:textId="77777777" w:rsidR="0090765B" w:rsidRPr="00382048" w:rsidRDefault="0090765B" w:rsidP="00242377">
      <w:pPr>
        <w:pStyle w:val="Standard"/>
        <w:autoSpaceDE w:val="0"/>
        <w:jc w:val="both"/>
        <w:rPr>
          <w:rFonts w:ascii="Garamond" w:hAnsi="Garamond" w:cs="Arial"/>
          <w:bCs/>
          <w:color w:val="000000"/>
          <w:sz w:val="24"/>
          <w:szCs w:val="24"/>
        </w:rPr>
      </w:pPr>
    </w:p>
    <w:p w14:paraId="319402E6" w14:textId="3B71767E" w:rsidR="00247B01" w:rsidRPr="00382048" w:rsidRDefault="00247B01" w:rsidP="00247B01">
      <w:pPr>
        <w:spacing w:after="160" w:line="259" w:lineRule="auto"/>
        <w:jc w:val="both"/>
        <w:rPr>
          <w:rFonts w:ascii="Garamond" w:eastAsia="Calibri" w:hAnsi="Garamond" w:cs="Arial"/>
          <w:kern w:val="2"/>
          <w:sz w:val="24"/>
          <w:szCs w:val="24"/>
          <w:lang w:eastAsia="en-US"/>
          <w14:ligatures w14:val="standardContextual"/>
        </w:rPr>
      </w:pPr>
      <w:r w:rsidRPr="00382048">
        <w:rPr>
          <w:rFonts w:ascii="Garamond" w:eastAsia="Calibri" w:hAnsi="Garamond" w:cs="Arial"/>
          <w:kern w:val="2"/>
          <w:sz w:val="24"/>
          <w:szCs w:val="24"/>
          <w:lang w:eastAsia="en-US"/>
          <w14:ligatures w14:val="standardContextual"/>
        </w:rPr>
        <w:t>La Secretaria Distrital de Educación diseñó el programa “Jóvenes a la U” y en este marco suscribió con los Fondos de Desarrollo Local (en adelante FDL) el convenio 2267 de 2021, el cual se encuentra en ejecución y cuyo objeto es “Aunar esfuerzos técnicos, administrativos, jurídicos y financieros entre la Secretaria de Educación del Distrito y los Fondos de Desarrollo Local que hacen parte del Distrito Capital, para la implementación de un nuevo modelo inclusivo, eficiente y flexible para el acceso y la permanencia de la y los jóvenes egresados de instituciones de educación media a programas de educación superior.” En medio de la ejecución contractual del mencionado convenio, se realizó el proceso de subrogación desde la SED hacia la Agencia Atenea con la misión de generar oportunidades de acceso a la educación posmedia y fortalecer la agenda de ciencia, tecnología e innovación en Bogotá, En las vigencias subsiguientes es decir 2022,</w:t>
      </w:r>
      <w:r w:rsidR="00127A08">
        <w:rPr>
          <w:rFonts w:ascii="Garamond" w:eastAsia="Calibri" w:hAnsi="Garamond" w:cs="Arial"/>
          <w:kern w:val="2"/>
          <w:sz w:val="24"/>
          <w:szCs w:val="24"/>
          <w:lang w:eastAsia="en-US"/>
          <w14:ligatures w14:val="standardContextual"/>
        </w:rPr>
        <w:t xml:space="preserve"> </w:t>
      </w:r>
      <w:r w:rsidRPr="00382048">
        <w:rPr>
          <w:rFonts w:ascii="Garamond" w:eastAsia="Calibri" w:hAnsi="Garamond" w:cs="Arial"/>
          <w:kern w:val="2"/>
          <w:sz w:val="24"/>
          <w:szCs w:val="24"/>
          <w:lang w:eastAsia="en-US"/>
          <w14:ligatures w14:val="standardContextual"/>
        </w:rPr>
        <w:t xml:space="preserve">2023 y 2024, la Agencia Atenea ha suscrito convenios independientes con los FDL, con objetos contractuales diferentes para atender la necesidad de las convocatorias públicas de la siguiente manera: </w:t>
      </w:r>
    </w:p>
    <w:p w14:paraId="163FFAEA" w14:textId="2B7559BF" w:rsidR="00247B01" w:rsidRPr="00382048" w:rsidRDefault="00247B01" w:rsidP="00247B01">
      <w:pPr>
        <w:spacing w:line="259" w:lineRule="auto"/>
        <w:jc w:val="both"/>
        <w:rPr>
          <w:rFonts w:ascii="Garamond" w:eastAsia="Calibri" w:hAnsi="Garamond" w:cs="Arial"/>
          <w:kern w:val="2"/>
          <w:sz w:val="24"/>
          <w:szCs w:val="24"/>
          <w:lang w:eastAsia="en-US"/>
          <w14:ligatures w14:val="standardContextual"/>
        </w:rPr>
      </w:pPr>
      <w:r w:rsidRPr="00382048">
        <w:rPr>
          <w:rFonts w:ascii="Garamond" w:eastAsia="Calibri" w:hAnsi="Garamond" w:cs="Arial"/>
          <w:b/>
          <w:bCs/>
          <w:kern w:val="2"/>
          <w:sz w:val="24"/>
          <w:szCs w:val="24"/>
          <w:lang w:eastAsia="en-US"/>
          <w14:ligatures w14:val="standardContextual"/>
        </w:rPr>
        <w:t>Tabla 01.</w:t>
      </w:r>
      <w:r w:rsidRPr="00382048">
        <w:rPr>
          <w:rFonts w:ascii="Garamond" w:eastAsia="Calibri" w:hAnsi="Garamond" w:cs="Arial"/>
          <w:kern w:val="2"/>
          <w:sz w:val="24"/>
          <w:szCs w:val="24"/>
          <w:lang w:eastAsia="en-US"/>
          <w14:ligatures w14:val="standardContextual"/>
        </w:rPr>
        <w:t xml:space="preserve"> Convenios celebrados entre Atenea y los Fondos de Desarrollo Local.</w:t>
      </w:r>
    </w:p>
    <w:p w14:paraId="5000B054" w14:textId="77777777" w:rsidR="00247B01" w:rsidRPr="00247B01" w:rsidRDefault="00247B01" w:rsidP="00247B01">
      <w:pPr>
        <w:spacing w:line="259" w:lineRule="auto"/>
        <w:jc w:val="both"/>
        <w:rPr>
          <w:rFonts w:ascii="Garamond" w:eastAsia="Calibri" w:hAnsi="Garamond" w:cs="Arial"/>
          <w:kern w:val="2"/>
          <w:sz w:val="22"/>
          <w:szCs w:val="22"/>
          <w:lang w:eastAsia="en-US"/>
          <w14:ligatures w14:val="standardContextual"/>
        </w:rPr>
      </w:pPr>
    </w:p>
    <w:tbl>
      <w:tblPr>
        <w:tblW w:w="9355" w:type="dxa"/>
        <w:tblCellMar>
          <w:left w:w="70" w:type="dxa"/>
          <w:right w:w="70" w:type="dxa"/>
        </w:tblCellMar>
        <w:tblLook w:val="04A0" w:firstRow="1" w:lastRow="0" w:firstColumn="1" w:lastColumn="0" w:noHBand="0" w:noVBand="1"/>
      </w:tblPr>
      <w:tblGrid>
        <w:gridCol w:w="339"/>
        <w:gridCol w:w="1277"/>
        <w:gridCol w:w="959"/>
        <w:gridCol w:w="2000"/>
        <w:gridCol w:w="1612"/>
        <w:gridCol w:w="1037"/>
        <w:gridCol w:w="1125"/>
        <w:gridCol w:w="1037"/>
      </w:tblGrid>
      <w:tr w:rsidR="009F1E8B" w:rsidRPr="009F1E8B" w14:paraId="4DF3DBCF" w14:textId="77777777" w:rsidTr="000B6F83">
        <w:trPr>
          <w:trHeight w:val="429"/>
          <w:tblHeader/>
        </w:trPr>
        <w:tc>
          <w:tcPr>
            <w:tcW w:w="336" w:type="dxa"/>
            <w:tcBorders>
              <w:top w:val="single" w:sz="8" w:space="0" w:color="auto"/>
              <w:left w:val="single" w:sz="8" w:space="0" w:color="auto"/>
              <w:bottom w:val="single" w:sz="8" w:space="0" w:color="auto"/>
              <w:right w:val="single" w:sz="4" w:space="0" w:color="auto"/>
            </w:tcBorders>
            <w:shd w:val="clear" w:color="000000" w:fill="002060"/>
            <w:vAlign w:val="center"/>
            <w:hideMark/>
          </w:tcPr>
          <w:p w14:paraId="2F898FD1" w14:textId="77777777" w:rsidR="00247B01" w:rsidRPr="00247B01" w:rsidRDefault="00247B01" w:rsidP="00247B01">
            <w:pPr>
              <w:jc w:val="center"/>
              <w:rPr>
                <w:rFonts w:ascii="Garamond" w:hAnsi="Garamond"/>
                <w:b/>
                <w:bCs/>
                <w:color w:val="FFFFFF"/>
                <w:sz w:val="16"/>
                <w:szCs w:val="16"/>
                <w:lang w:eastAsia="es-CO"/>
              </w:rPr>
            </w:pPr>
            <w:r w:rsidRPr="00247B01">
              <w:rPr>
                <w:rFonts w:ascii="Garamond" w:hAnsi="Garamond"/>
                <w:b/>
                <w:bCs/>
                <w:color w:val="FFFFFF"/>
                <w:sz w:val="16"/>
                <w:szCs w:val="16"/>
                <w:lang w:eastAsia="es-CO"/>
              </w:rPr>
              <w:t>N°</w:t>
            </w:r>
          </w:p>
        </w:tc>
        <w:tc>
          <w:tcPr>
            <w:tcW w:w="1282" w:type="dxa"/>
            <w:tcBorders>
              <w:top w:val="single" w:sz="8" w:space="0" w:color="auto"/>
              <w:left w:val="nil"/>
              <w:bottom w:val="single" w:sz="8" w:space="0" w:color="auto"/>
              <w:right w:val="single" w:sz="4" w:space="0" w:color="auto"/>
            </w:tcBorders>
            <w:shd w:val="clear" w:color="000000" w:fill="002060"/>
            <w:vAlign w:val="center"/>
            <w:hideMark/>
          </w:tcPr>
          <w:p w14:paraId="4B5F103A" w14:textId="77777777" w:rsidR="00247B01" w:rsidRPr="00247B01" w:rsidRDefault="00247B01" w:rsidP="00247B01">
            <w:pPr>
              <w:jc w:val="center"/>
              <w:rPr>
                <w:rFonts w:ascii="Garamond" w:hAnsi="Garamond"/>
                <w:b/>
                <w:bCs/>
                <w:color w:val="FFFFFF"/>
                <w:sz w:val="16"/>
                <w:szCs w:val="16"/>
                <w:lang w:eastAsia="es-CO"/>
              </w:rPr>
            </w:pPr>
            <w:r w:rsidRPr="00247B01">
              <w:rPr>
                <w:rFonts w:ascii="Garamond" w:hAnsi="Garamond"/>
                <w:b/>
                <w:bCs/>
                <w:color w:val="FFFFFF"/>
                <w:sz w:val="16"/>
                <w:szCs w:val="16"/>
                <w:lang w:eastAsia="es-CO"/>
              </w:rPr>
              <w:t>Localidad</w:t>
            </w:r>
          </w:p>
        </w:tc>
        <w:tc>
          <w:tcPr>
            <w:tcW w:w="962" w:type="dxa"/>
            <w:tcBorders>
              <w:top w:val="single" w:sz="8" w:space="0" w:color="auto"/>
              <w:left w:val="nil"/>
              <w:bottom w:val="single" w:sz="8" w:space="0" w:color="auto"/>
              <w:right w:val="single" w:sz="4" w:space="0" w:color="auto"/>
            </w:tcBorders>
            <w:shd w:val="clear" w:color="000000" w:fill="002060"/>
            <w:vAlign w:val="center"/>
            <w:hideMark/>
          </w:tcPr>
          <w:p w14:paraId="18FE6FF8" w14:textId="77777777" w:rsidR="00247B01" w:rsidRPr="00247B01" w:rsidRDefault="00247B01" w:rsidP="00247B01">
            <w:pPr>
              <w:jc w:val="center"/>
              <w:rPr>
                <w:rFonts w:ascii="Garamond" w:hAnsi="Garamond"/>
                <w:b/>
                <w:bCs/>
                <w:color w:val="FFFFFF"/>
                <w:sz w:val="16"/>
                <w:szCs w:val="16"/>
                <w:lang w:eastAsia="es-CO"/>
              </w:rPr>
            </w:pPr>
            <w:r w:rsidRPr="00247B01">
              <w:rPr>
                <w:rFonts w:ascii="Garamond" w:hAnsi="Garamond"/>
                <w:b/>
                <w:bCs/>
                <w:color w:val="FFFFFF"/>
                <w:sz w:val="16"/>
                <w:szCs w:val="16"/>
                <w:lang w:eastAsia="es-CO"/>
              </w:rPr>
              <w:t>Años</w:t>
            </w:r>
          </w:p>
        </w:tc>
        <w:tc>
          <w:tcPr>
            <w:tcW w:w="1946" w:type="dxa"/>
            <w:tcBorders>
              <w:top w:val="single" w:sz="8" w:space="0" w:color="auto"/>
              <w:left w:val="nil"/>
              <w:bottom w:val="single" w:sz="8" w:space="0" w:color="auto"/>
              <w:right w:val="single" w:sz="4" w:space="0" w:color="auto"/>
            </w:tcBorders>
            <w:shd w:val="clear" w:color="000000" w:fill="002060"/>
            <w:vAlign w:val="center"/>
            <w:hideMark/>
          </w:tcPr>
          <w:p w14:paraId="741A29F9" w14:textId="77777777" w:rsidR="00247B01" w:rsidRPr="00247B01" w:rsidRDefault="00247B01" w:rsidP="00247B01">
            <w:pPr>
              <w:jc w:val="center"/>
              <w:rPr>
                <w:rFonts w:ascii="Garamond" w:hAnsi="Garamond"/>
                <w:b/>
                <w:bCs/>
                <w:color w:val="FFFFFF"/>
                <w:sz w:val="16"/>
                <w:szCs w:val="16"/>
                <w:lang w:eastAsia="es-CO"/>
              </w:rPr>
            </w:pPr>
            <w:r w:rsidRPr="00247B01">
              <w:rPr>
                <w:rFonts w:ascii="Garamond" w:hAnsi="Garamond"/>
                <w:b/>
                <w:bCs/>
                <w:color w:val="FFFFFF"/>
                <w:sz w:val="16"/>
                <w:szCs w:val="16"/>
                <w:lang w:eastAsia="es-CO"/>
              </w:rPr>
              <w:t>N° de Convenio</w:t>
            </w:r>
          </w:p>
        </w:tc>
        <w:tc>
          <w:tcPr>
            <w:tcW w:w="1618" w:type="dxa"/>
            <w:tcBorders>
              <w:top w:val="single" w:sz="8" w:space="0" w:color="auto"/>
              <w:left w:val="nil"/>
              <w:bottom w:val="single" w:sz="8" w:space="0" w:color="auto"/>
              <w:right w:val="single" w:sz="4" w:space="0" w:color="auto"/>
            </w:tcBorders>
            <w:shd w:val="clear" w:color="000000" w:fill="002060"/>
            <w:vAlign w:val="center"/>
            <w:hideMark/>
          </w:tcPr>
          <w:p w14:paraId="2AC92E18" w14:textId="77777777" w:rsidR="00247B01" w:rsidRPr="00247B01" w:rsidRDefault="00247B01" w:rsidP="00247B01">
            <w:pPr>
              <w:jc w:val="center"/>
              <w:rPr>
                <w:rFonts w:ascii="Garamond" w:hAnsi="Garamond"/>
                <w:b/>
                <w:bCs/>
                <w:color w:val="FFFFFF"/>
                <w:sz w:val="16"/>
                <w:szCs w:val="16"/>
                <w:lang w:eastAsia="es-CO"/>
              </w:rPr>
            </w:pPr>
            <w:r w:rsidRPr="00247B01">
              <w:rPr>
                <w:rFonts w:ascii="Garamond" w:hAnsi="Garamond"/>
                <w:b/>
                <w:bCs/>
                <w:color w:val="FFFFFF"/>
                <w:sz w:val="16"/>
                <w:szCs w:val="16"/>
                <w:lang w:eastAsia="es-CO"/>
              </w:rPr>
              <w:t>Total Aporte FDL $</w:t>
            </w:r>
          </w:p>
        </w:tc>
        <w:tc>
          <w:tcPr>
            <w:tcW w:w="1041" w:type="dxa"/>
            <w:tcBorders>
              <w:top w:val="single" w:sz="8" w:space="0" w:color="auto"/>
              <w:left w:val="nil"/>
              <w:bottom w:val="single" w:sz="8" w:space="0" w:color="auto"/>
              <w:right w:val="single" w:sz="4" w:space="0" w:color="auto"/>
            </w:tcBorders>
            <w:shd w:val="clear" w:color="000000" w:fill="002060"/>
            <w:vAlign w:val="center"/>
            <w:hideMark/>
          </w:tcPr>
          <w:p w14:paraId="02FA1348" w14:textId="77777777" w:rsidR="00247B01" w:rsidRPr="00247B01" w:rsidRDefault="00247B01" w:rsidP="00247B01">
            <w:pPr>
              <w:jc w:val="center"/>
              <w:rPr>
                <w:rFonts w:ascii="Garamond" w:hAnsi="Garamond"/>
                <w:b/>
                <w:bCs/>
                <w:color w:val="FFFFFF"/>
                <w:sz w:val="16"/>
                <w:szCs w:val="16"/>
                <w:lang w:eastAsia="es-CO"/>
              </w:rPr>
            </w:pPr>
            <w:r w:rsidRPr="00247B01">
              <w:rPr>
                <w:rFonts w:ascii="Garamond" w:hAnsi="Garamond"/>
                <w:b/>
                <w:bCs/>
                <w:color w:val="FFFFFF"/>
                <w:sz w:val="16"/>
                <w:szCs w:val="16"/>
                <w:lang w:eastAsia="es-CO"/>
              </w:rPr>
              <w:t xml:space="preserve">Meta Acceso </w:t>
            </w:r>
          </w:p>
        </w:tc>
        <w:tc>
          <w:tcPr>
            <w:tcW w:w="1129" w:type="dxa"/>
            <w:tcBorders>
              <w:top w:val="single" w:sz="8" w:space="0" w:color="auto"/>
              <w:left w:val="nil"/>
              <w:bottom w:val="single" w:sz="8" w:space="0" w:color="auto"/>
              <w:right w:val="single" w:sz="8" w:space="0" w:color="auto"/>
            </w:tcBorders>
            <w:shd w:val="clear" w:color="000000" w:fill="002060"/>
            <w:vAlign w:val="center"/>
            <w:hideMark/>
          </w:tcPr>
          <w:p w14:paraId="4EC26C59" w14:textId="77777777" w:rsidR="00247B01" w:rsidRPr="00247B01" w:rsidRDefault="00247B01" w:rsidP="00247B01">
            <w:pPr>
              <w:jc w:val="center"/>
              <w:rPr>
                <w:rFonts w:ascii="Garamond" w:hAnsi="Garamond"/>
                <w:b/>
                <w:bCs/>
                <w:color w:val="FFFFFF"/>
                <w:sz w:val="16"/>
                <w:szCs w:val="16"/>
                <w:lang w:eastAsia="es-CO"/>
              </w:rPr>
            </w:pPr>
            <w:r w:rsidRPr="00247B01">
              <w:rPr>
                <w:rFonts w:ascii="Garamond" w:hAnsi="Garamond"/>
                <w:b/>
                <w:bCs/>
                <w:color w:val="FFFFFF"/>
                <w:sz w:val="16"/>
                <w:szCs w:val="16"/>
                <w:lang w:eastAsia="es-CO"/>
              </w:rPr>
              <w:t xml:space="preserve">Meta Permanencia </w:t>
            </w:r>
          </w:p>
        </w:tc>
        <w:tc>
          <w:tcPr>
            <w:tcW w:w="1041" w:type="dxa"/>
            <w:tcBorders>
              <w:top w:val="single" w:sz="8" w:space="0" w:color="auto"/>
              <w:left w:val="single" w:sz="4" w:space="0" w:color="auto"/>
              <w:bottom w:val="single" w:sz="8" w:space="0" w:color="auto"/>
              <w:right w:val="single" w:sz="8" w:space="0" w:color="auto"/>
            </w:tcBorders>
            <w:shd w:val="clear" w:color="000000" w:fill="002060"/>
            <w:vAlign w:val="center"/>
            <w:hideMark/>
          </w:tcPr>
          <w:p w14:paraId="13C37F35" w14:textId="77777777" w:rsidR="00247B01" w:rsidRPr="00247B01" w:rsidRDefault="00247B01" w:rsidP="00247B01">
            <w:pPr>
              <w:jc w:val="center"/>
              <w:rPr>
                <w:rFonts w:ascii="Garamond" w:hAnsi="Garamond"/>
                <w:b/>
                <w:bCs/>
                <w:color w:val="FFFFFF"/>
                <w:sz w:val="16"/>
                <w:szCs w:val="16"/>
                <w:lang w:eastAsia="es-CO"/>
              </w:rPr>
            </w:pPr>
            <w:r w:rsidRPr="00247B01">
              <w:rPr>
                <w:rFonts w:ascii="Garamond" w:hAnsi="Garamond"/>
                <w:b/>
                <w:bCs/>
                <w:color w:val="FFFFFF"/>
                <w:sz w:val="16"/>
                <w:szCs w:val="16"/>
                <w:lang w:eastAsia="es-CO"/>
              </w:rPr>
              <w:t>Jóvenes a Impactar</w:t>
            </w:r>
          </w:p>
        </w:tc>
      </w:tr>
      <w:tr w:rsidR="00247B01" w:rsidRPr="00247B01" w14:paraId="0B20F266"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1F447FF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21ED4866"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Usaquén</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26FF3099"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26F8124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15E13C0E"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$ 2.774.993.074</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7CC9A2E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60</w:t>
            </w:r>
          </w:p>
        </w:tc>
        <w:tc>
          <w:tcPr>
            <w:tcW w:w="1129" w:type="dxa"/>
            <w:tcBorders>
              <w:top w:val="nil"/>
              <w:left w:val="nil"/>
              <w:bottom w:val="single" w:sz="4" w:space="0" w:color="auto"/>
              <w:right w:val="single" w:sz="8" w:space="0" w:color="auto"/>
            </w:tcBorders>
            <w:shd w:val="clear" w:color="auto" w:fill="auto"/>
            <w:noWrap/>
            <w:vAlign w:val="bottom"/>
            <w:hideMark/>
          </w:tcPr>
          <w:p w14:paraId="5E7B4C2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3B24BAD9"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60</w:t>
            </w:r>
          </w:p>
        </w:tc>
      </w:tr>
      <w:tr w:rsidR="00247B01" w:rsidRPr="00247B01" w14:paraId="093D5799"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09FFE52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39080368"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037783A1"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1B01589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FDLUSA-CI-506-2022</w:t>
            </w:r>
          </w:p>
        </w:tc>
        <w:tc>
          <w:tcPr>
            <w:tcW w:w="1618" w:type="dxa"/>
            <w:tcBorders>
              <w:top w:val="nil"/>
              <w:left w:val="nil"/>
              <w:bottom w:val="single" w:sz="4" w:space="0" w:color="auto"/>
              <w:right w:val="nil"/>
            </w:tcBorders>
            <w:shd w:val="clear" w:color="auto" w:fill="auto"/>
            <w:noWrap/>
            <w:vAlign w:val="bottom"/>
            <w:hideMark/>
          </w:tcPr>
          <w:p w14:paraId="1DB11717"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$ 2.487.697.516</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2DCF8C9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66</w:t>
            </w:r>
          </w:p>
        </w:tc>
        <w:tc>
          <w:tcPr>
            <w:tcW w:w="1129" w:type="dxa"/>
            <w:tcBorders>
              <w:top w:val="nil"/>
              <w:left w:val="nil"/>
              <w:bottom w:val="single" w:sz="4" w:space="0" w:color="auto"/>
              <w:right w:val="single" w:sz="8" w:space="0" w:color="auto"/>
            </w:tcBorders>
            <w:shd w:val="clear" w:color="auto" w:fill="auto"/>
            <w:noWrap/>
            <w:vAlign w:val="bottom"/>
            <w:hideMark/>
          </w:tcPr>
          <w:p w14:paraId="0E5188C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66</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68F7E5F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66</w:t>
            </w:r>
          </w:p>
        </w:tc>
      </w:tr>
      <w:tr w:rsidR="00247B01" w:rsidRPr="00247B01" w14:paraId="0B2BA104"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1156448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358FAE82"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426854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34D486CF"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FDLUSA-CTO-410-2023</w:t>
            </w:r>
          </w:p>
        </w:tc>
        <w:tc>
          <w:tcPr>
            <w:tcW w:w="1618" w:type="dxa"/>
            <w:tcBorders>
              <w:top w:val="nil"/>
              <w:left w:val="nil"/>
              <w:bottom w:val="single" w:sz="4" w:space="0" w:color="auto"/>
              <w:right w:val="nil"/>
            </w:tcBorders>
            <w:shd w:val="clear" w:color="auto" w:fill="auto"/>
            <w:noWrap/>
            <w:vAlign w:val="bottom"/>
            <w:hideMark/>
          </w:tcPr>
          <w:p w14:paraId="584470A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$ 2.952.318.468</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54A21B5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66</w:t>
            </w:r>
          </w:p>
        </w:tc>
        <w:tc>
          <w:tcPr>
            <w:tcW w:w="1129" w:type="dxa"/>
            <w:tcBorders>
              <w:top w:val="nil"/>
              <w:left w:val="nil"/>
              <w:bottom w:val="single" w:sz="4" w:space="0" w:color="auto"/>
              <w:right w:val="single" w:sz="8" w:space="0" w:color="auto"/>
            </w:tcBorders>
            <w:shd w:val="clear" w:color="auto" w:fill="auto"/>
            <w:noWrap/>
            <w:vAlign w:val="bottom"/>
            <w:hideMark/>
          </w:tcPr>
          <w:p w14:paraId="69FEE72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66</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2F70FF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66</w:t>
            </w:r>
          </w:p>
        </w:tc>
      </w:tr>
      <w:tr w:rsidR="00247B01" w:rsidRPr="00247B01" w14:paraId="1947880C"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23CCD1B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039673B0"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3DE0D35F"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7519B25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FDLUSA-CI-477-2024</w:t>
            </w:r>
          </w:p>
        </w:tc>
        <w:tc>
          <w:tcPr>
            <w:tcW w:w="1618" w:type="dxa"/>
            <w:tcBorders>
              <w:top w:val="nil"/>
              <w:left w:val="nil"/>
              <w:bottom w:val="single" w:sz="4" w:space="0" w:color="auto"/>
              <w:right w:val="nil"/>
            </w:tcBorders>
            <w:shd w:val="clear" w:color="auto" w:fill="auto"/>
            <w:noWrap/>
            <w:vAlign w:val="bottom"/>
            <w:hideMark/>
          </w:tcPr>
          <w:p w14:paraId="75DB6A60"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$ 2.171.700.595</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7D8CDCA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38</w:t>
            </w:r>
          </w:p>
        </w:tc>
        <w:tc>
          <w:tcPr>
            <w:tcW w:w="1129" w:type="dxa"/>
            <w:tcBorders>
              <w:top w:val="nil"/>
              <w:left w:val="nil"/>
              <w:bottom w:val="single" w:sz="4" w:space="0" w:color="auto"/>
              <w:right w:val="single" w:sz="8" w:space="0" w:color="auto"/>
            </w:tcBorders>
            <w:shd w:val="clear" w:color="auto" w:fill="auto"/>
            <w:noWrap/>
            <w:vAlign w:val="bottom"/>
            <w:hideMark/>
          </w:tcPr>
          <w:p w14:paraId="1FFB108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69</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DB4B9C4"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69</w:t>
            </w:r>
          </w:p>
        </w:tc>
      </w:tr>
      <w:tr w:rsidR="009F1E8B" w:rsidRPr="00247B01" w14:paraId="4D437778"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83AE0F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35D45A50"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2E9983F5"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52682020"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7FA54875"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$ 10.386.709.653</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02D9B2B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230</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74AA7E1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261</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4BB3D6C7"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261</w:t>
            </w:r>
          </w:p>
        </w:tc>
      </w:tr>
      <w:tr w:rsidR="00247B01" w:rsidRPr="00247B01" w14:paraId="1C49FC33"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304B150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lastRenderedPageBreak/>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4B719C1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Chapinero LEP</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07EA25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7527622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02ECB3D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$ 946.160.300</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4DBBA10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26</w:t>
            </w:r>
          </w:p>
        </w:tc>
        <w:tc>
          <w:tcPr>
            <w:tcW w:w="112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21E9C8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50</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B6712D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50</w:t>
            </w:r>
          </w:p>
        </w:tc>
      </w:tr>
      <w:tr w:rsidR="00247B01" w:rsidRPr="00247B01" w14:paraId="33874444"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5D5CF84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52AEC8FD"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16616708"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31BA5E9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FDLCH-CIA-182-2022</w:t>
            </w:r>
          </w:p>
        </w:tc>
        <w:tc>
          <w:tcPr>
            <w:tcW w:w="1618" w:type="dxa"/>
            <w:tcBorders>
              <w:top w:val="nil"/>
              <w:left w:val="nil"/>
              <w:bottom w:val="single" w:sz="4" w:space="0" w:color="auto"/>
              <w:right w:val="nil"/>
            </w:tcBorders>
            <w:shd w:val="clear" w:color="auto" w:fill="auto"/>
            <w:noWrap/>
            <w:vAlign w:val="bottom"/>
            <w:hideMark/>
          </w:tcPr>
          <w:p w14:paraId="55CAD783"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$ 1.153.434.000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61BA999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26</w:t>
            </w:r>
          </w:p>
        </w:tc>
        <w:tc>
          <w:tcPr>
            <w:tcW w:w="1129" w:type="dxa"/>
            <w:tcBorders>
              <w:top w:val="nil"/>
              <w:left w:val="single" w:sz="4" w:space="0" w:color="auto"/>
              <w:bottom w:val="single" w:sz="4" w:space="0" w:color="auto"/>
              <w:right w:val="single" w:sz="8" w:space="0" w:color="auto"/>
            </w:tcBorders>
            <w:shd w:val="clear" w:color="auto" w:fill="auto"/>
            <w:noWrap/>
            <w:vAlign w:val="bottom"/>
            <w:hideMark/>
          </w:tcPr>
          <w:p w14:paraId="4EA2863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C033EA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50</w:t>
            </w:r>
          </w:p>
        </w:tc>
      </w:tr>
      <w:tr w:rsidR="00247B01" w:rsidRPr="00247B01" w14:paraId="2A7B39B0"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6752B60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6B1CFAE9"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51D29F79"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183CD547"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FDLCH-CIA-145-2023</w:t>
            </w:r>
          </w:p>
        </w:tc>
        <w:tc>
          <w:tcPr>
            <w:tcW w:w="1618" w:type="dxa"/>
            <w:tcBorders>
              <w:top w:val="nil"/>
              <w:left w:val="nil"/>
              <w:bottom w:val="single" w:sz="4" w:space="0" w:color="auto"/>
              <w:right w:val="nil"/>
            </w:tcBorders>
            <w:shd w:val="clear" w:color="auto" w:fill="auto"/>
            <w:noWrap/>
            <w:vAlign w:val="bottom"/>
            <w:hideMark/>
          </w:tcPr>
          <w:p w14:paraId="70CEC2FB"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$ 1.480.000.000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71B0E3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24</w:t>
            </w:r>
          </w:p>
        </w:tc>
        <w:tc>
          <w:tcPr>
            <w:tcW w:w="1129" w:type="dxa"/>
            <w:tcBorders>
              <w:top w:val="nil"/>
              <w:left w:val="single" w:sz="4" w:space="0" w:color="auto"/>
              <w:bottom w:val="single" w:sz="4" w:space="0" w:color="auto"/>
              <w:right w:val="single" w:sz="8" w:space="0" w:color="auto"/>
            </w:tcBorders>
            <w:shd w:val="clear" w:color="auto" w:fill="auto"/>
            <w:noWrap/>
            <w:vAlign w:val="bottom"/>
            <w:hideMark/>
          </w:tcPr>
          <w:p w14:paraId="73FE527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EAF69D0"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50</w:t>
            </w:r>
          </w:p>
        </w:tc>
      </w:tr>
      <w:tr w:rsidR="00247B01" w:rsidRPr="00247B01" w14:paraId="47A007C0"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5460E8C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24CF2450"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39B0DADE"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50C94D4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FDLCH-CIA-250-2024</w:t>
            </w:r>
          </w:p>
        </w:tc>
        <w:tc>
          <w:tcPr>
            <w:tcW w:w="1618" w:type="dxa"/>
            <w:tcBorders>
              <w:top w:val="nil"/>
              <w:left w:val="nil"/>
              <w:bottom w:val="single" w:sz="4" w:space="0" w:color="auto"/>
              <w:right w:val="nil"/>
            </w:tcBorders>
            <w:shd w:val="clear" w:color="auto" w:fill="auto"/>
            <w:noWrap/>
            <w:vAlign w:val="bottom"/>
            <w:hideMark/>
          </w:tcPr>
          <w:p w14:paraId="55A602A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$ 1.495.000.000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5CC03EB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24</w:t>
            </w:r>
          </w:p>
        </w:tc>
        <w:tc>
          <w:tcPr>
            <w:tcW w:w="1129" w:type="dxa"/>
            <w:tcBorders>
              <w:top w:val="nil"/>
              <w:left w:val="single" w:sz="4" w:space="0" w:color="auto"/>
              <w:bottom w:val="single" w:sz="4" w:space="0" w:color="auto"/>
              <w:right w:val="single" w:sz="8" w:space="0" w:color="auto"/>
            </w:tcBorders>
            <w:shd w:val="clear" w:color="auto" w:fill="auto"/>
            <w:noWrap/>
            <w:vAlign w:val="bottom"/>
            <w:hideMark/>
          </w:tcPr>
          <w:p w14:paraId="5632FD5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D2D22E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50</w:t>
            </w:r>
          </w:p>
        </w:tc>
      </w:tr>
      <w:tr w:rsidR="009F1E8B" w:rsidRPr="00247B01" w14:paraId="20A4545E"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1562DE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422B2ED6"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0DB0ABA0"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4DB4D178"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2CD4D936"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$ 5.074.594.300</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7C9DC6A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100</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4BDBE7CA"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200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4E57FD7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200</w:t>
            </w:r>
          </w:p>
        </w:tc>
      </w:tr>
      <w:tr w:rsidR="00247B01" w:rsidRPr="00247B01" w14:paraId="59327C2C"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5B45573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0E2FB43F"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xml:space="preserve">Santa Fé </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57229181"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6434D9AD"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5A8FBD8E"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$ 1.907.904.600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7C62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20</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4329B0A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15</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16A61B0"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15</w:t>
            </w:r>
          </w:p>
        </w:tc>
      </w:tr>
      <w:tr w:rsidR="00247B01" w:rsidRPr="00247B01" w14:paraId="6EAA8894"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00D278A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256B8240"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28709417"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01EDF63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FDLSF-CD-129-2022</w:t>
            </w:r>
          </w:p>
        </w:tc>
        <w:tc>
          <w:tcPr>
            <w:tcW w:w="1618" w:type="dxa"/>
            <w:tcBorders>
              <w:top w:val="nil"/>
              <w:left w:val="nil"/>
              <w:bottom w:val="single" w:sz="4" w:space="0" w:color="auto"/>
              <w:right w:val="nil"/>
            </w:tcBorders>
            <w:shd w:val="clear" w:color="auto" w:fill="auto"/>
            <w:noWrap/>
            <w:vAlign w:val="bottom"/>
            <w:hideMark/>
          </w:tcPr>
          <w:p w14:paraId="210C1CA6"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$ 1.259.613.126</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68B3DB0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20</w:t>
            </w:r>
          </w:p>
        </w:tc>
        <w:tc>
          <w:tcPr>
            <w:tcW w:w="1129" w:type="dxa"/>
            <w:tcBorders>
              <w:top w:val="nil"/>
              <w:left w:val="nil"/>
              <w:bottom w:val="single" w:sz="4" w:space="0" w:color="auto"/>
              <w:right w:val="single" w:sz="8" w:space="0" w:color="auto"/>
            </w:tcBorders>
            <w:shd w:val="clear" w:color="auto" w:fill="auto"/>
            <w:noWrap/>
            <w:vAlign w:val="bottom"/>
            <w:hideMark/>
          </w:tcPr>
          <w:p w14:paraId="56E6255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56329C7F"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15</w:t>
            </w:r>
          </w:p>
        </w:tc>
      </w:tr>
      <w:tr w:rsidR="00247B01" w:rsidRPr="00247B01" w14:paraId="4C0A752D"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1F468AC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7047D02F"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0E0A82A1"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44420F2A"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FDLSF-CD-269-2023</w:t>
            </w:r>
          </w:p>
        </w:tc>
        <w:tc>
          <w:tcPr>
            <w:tcW w:w="1618" w:type="dxa"/>
            <w:tcBorders>
              <w:top w:val="nil"/>
              <w:left w:val="nil"/>
              <w:bottom w:val="single" w:sz="4" w:space="0" w:color="auto"/>
              <w:right w:val="nil"/>
            </w:tcBorders>
            <w:shd w:val="clear" w:color="auto" w:fill="auto"/>
            <w:noWrap/>
            <w:vAlign w:val="bottom"/>
            <w:hideMark/>
          </w:tcPr>
          <w:p w14:paraId="354C8C56"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$ 652.884.006</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54B07D0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9</w:t>
            </w:r>
          </w:p>
        </w:tc>
        <w:tc>
          <w:tcPr>
            <w:tcW w:w="1129" w:type="dxa"/>
            <w:tcBorders>
              <w:top w:val="nil"/>
              <w:left w:val="nil"/>
              <w:bottom w:val="single" w:sz="4" w:space="0" w:color="auto"/>
              <w:right w:val="single" w:sz="8" w:space="0" w:color="auto"/>
            </w:tcBorders>
            <w:shd w:val="clear" w:color="auto" w:fill="auto"/>
            <w:noWrap/>
            <w:vAlign w:val="bottom"/>
            <w:hideMark/>
          </w:tcPr>
          <w:p w14:paraId="11BA7CA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3A4D8C4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15</w:t>
            </w:r>
          </w:p>
        </w:tc>
      </w:tr>
      <w:tr w:rsidR="00247B01" w:rsidRPr="00247B01" w14:paraId="1D80F341"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483E17D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11255A71"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610B5187"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0A4395E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FDLSF-CIA-433-2024</w:t>
            </w:r>
          </w:p>
        </w:tc>
        <w:tc>
          <w:tcPr>
            <w:tcW w:w="1618" w:type="dxa"/>
            <w:tcBorders>
              <w:top w:val="nil"/>
              <w:left w:val="nil"/>
              <w:bottom w:val="single" w:sz="4" w:space="0" w:color="auto"/>
              <w:right w:val="nil"/>
            </w:tcBorders>
            <w:shd w:val="clear" w:color="auto" w:fill="auto"/>
            <w:noWrap/>
            <w:vAlign w:val="bottom"/>
            <w:hideMark/>
          </w:tcPr>
          <w:p w14:paraId="5DDA0A3E"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$ 655.000.000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10C7D22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w:t>
            </w:r>
          </w:p>
        </w:tc>
        <w:tc>
          <w:tcPr>
            <w:tcW w:w="1129" w:type="dxa"/>
            <w:tcBorders>
              <w:top w:val="nil"/>
              <w:left w:val="nil"/>
              <w:bottom w:val="single" w:sz="4" w:space="0" w:color="auto"/>
              <w:right w:val="single" w:sz="8" w:space="0" w:color="auto"/>
            </w:tcBorders>
            <w:shd w:val="clear" w:color="auto" w:fill="auto"/>
            <w:noWrap/>
            <w:vAlign w:val="bottom"/>
            <w:hideMark/>
          </w:tcPr>
          <w:p w14:paraId="5CD4FB2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1B3E5BA"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15</w:t>
            </w:r>
          </w:p>
        </w:tc>
      </w:tr>
      <w:tr w:rsidR="009F1E8B" w:rsidRPr="00247B01" w14:paraId="522E2B27"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700C0A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72EACD48"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34D23978"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7FF3833C"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3BFEA269"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$ 4.475.401.732</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32A97BA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57</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2AFA540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60770CA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60</w:t>
            </w:r>
          </w:p>
        </w:tc>
      </w:tr>
      <w:tr w:rsidR="00247B01" w:rsidRPr="00247B01" w14:paraId="38D30656"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503A5CF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6A0E76B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San Cristóbal LEP</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47ECCFF3"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62F2811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0C4EDA60"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$ 4.899.323.100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C3CE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133</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7E58AA2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183</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A84844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183</w:t>
            </w:r>
          </w:p>
        </w:tc>
      </w:tr>
      <w:tr w:rsidR="00247B01" w:rsidRPr="00247B01" w14:paraId="176C0F5D"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12A6DEB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26BB0BA4"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70BA6166"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3937898E"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FDLSC-CVNI-407-2022</w:t>
            </w:r>
          </w:p>
        </w:tc>
        <w:tc>
          <w:tcPr>
            <w:tcW w:w="1618" w:type="dxa"/>
            <w:tcBorders>
              <w:top w:val="nil"/>
              <w:left w:val="nil"/>
              <w:bottom w:val="single" w:sz="4" w:space="0" w:color="auto"/>
              <w:right w:val="nil"/>
            </w:tcBorders>
            <w:shd w:val="clear" w:color="auto" w:fill="auto"/>
            <w:noWrap/>
            <w:vAlign w:val="bottom"/>
            <w:hideMark/>
          </w:tcPr>
          <w:p w14:paraId="22A4DE09"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$ 5.426.161.000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29E6C3C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133</w:t>
            </w:r>
          </w:p>
        </w:tc>
        <w:tc>
          <w:tcPr>
            <w:tcW w:w="1129" w:type="dxa"/>
            <w:tcBorders>
              <w:top w:val="nil"/>
              <w:left w:val="nil"/>
              <w:bottom w:val="single" w:sz="4" w:space="0" w:color="auto"/>
              <w:right w:val="single" w:sz="8" w:space="0" w:color="auto"/>
            </w:tcBorders>
            <w:shd w:val="clear" w:color="auto" w:fill="auto"/>
            <w:noWrap/>
            <w:vAlign w:val="bottom"/>
            <w:hideMark/>
          </w:tcPr>
          <w:p w14:paraId="14F09DB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183</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6DDECD04"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183</w:t>
            </w:r>
          </w:p>
        </w:tc>
      </w:tr>
      <w:tr w:rsidR="00247B01" w:rsidRPr="00247B01" w14:paraId="6AC7D188"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27960E7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42B5E776"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577D79D9"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03B86DD3"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FDLSC-CVNI-358-2023</w:t>
            </w:r>
          </w:p>
        </w:tc>
        <w:tc>
          <w:tcPr>
            <w:tcW w:w="1618" w:type="dxa"/>
            <w:tcBorders>
              <w:top w:val="nil"/>
              <w:left w:val="nil"/>
              <w:bottom w:val="single" w:sz="4" w:space="0" w:color="auto"/>
              <w:right w:val="nil"/>
            </w:tcBorders>
            <w:shd w:val="clear" w:color="auto" w:fill="auto"/>
            <w:noWrap/>
            <w:vAlign w:val="bottom"/>
            <w:hideMark/>
          </w:tcPr>
          <w:p w14:paraId="5559F20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$ 5.812.628.000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76A696C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132</w:t>
            </w:r>
          </w:p>
        </w:tc>
        <w:tc>
          <w:tcPr>
            <w:tcW w:w="1129" w:type="dxa"/>
            <w:tcBorders>
              <w:top w:val="nil"/>
              <w:left w:val="nil"/>
              <w:bottom w:val="single" w:sz="4" w:space="0" w:color="auto"/>
              <w:right w:val="single" w:sz="8" w:space="0" w:color="auto"/>
            </w:tcBorders>
            <w:shd w:val="clear" w:color="auto" w:fill="auto"/>
            <w:noWrap/>
            <w:vAlign w:val="bottom"/>
            <w:hideMark/>
          </w:tcPr>
          <w:p w14:paraId="6FF294B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182</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8406DF9"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182</w:t>
            </w:r>
          </w:p>
        </w:tc>
      </w:tr>
      <w:tr w:rsidR="00247B01" w:rsidRPr="00247B01" w14:paraId="5AA46A7B"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0EBE33B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31D296C6"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76EEF29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47DE2BDB"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FDLSC-CVNI-677-2024</w:t>
            </w:r>
          </w:p>
        </w:tc>
        <w:tc>
          <w:tcPr>
            <w:tcW w:w="1618" w:type="dxa"/>
            <w:tcBorders>
              <w:top w:val="nil"/>
              <w:left w:val="nil"/>
              <w:bottom w:val="single" w:sz="4" w:space="0" w:color="auto"/>
              <w:right w:val="nil"/>
            </w:tcBorders>
            <w:shd w:val="clear" w:color="auto" w:fill="auto"/>
            <w:noWrap/>
            <w:vAlign w:val="bottom"/>
            <w:hideMark/>
          </w:tcPr>
          <w:p w14:paraId="31453AAA"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$ 5.790.578.000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7E857E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132</w:t>
            </w:r>
          </w:p>
        </w:tc>
        <w:tc>
          <w:tcPr>
            <w:tcW w:w="1129" w:type="dxa"/>
            <w:tcBorders>
              <w:top w:val="nil"/>
              <w:left w:val="nil"/>
              <w:bottom w:val="single" w:sz="4" w:space="0" w:color="auto"/>
              <w:right w:val="single" w:sz="8" w:space="0" w:color="auto"/>
            </w:tcBorders>
            <w:shd w:val="clear" w:color="auto" w:fill="auto"/>
            <w:noWrap/>
            <w:vAlign w:val="bottom"/>
            <w:hideMark/>
          </w:tcPr>
          <w:p w14:paraId="378067E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182</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541F950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182</w:t>
            </w:r>
          </w:p>
        </w:tc>
      </w:tr>
      <w:tr w:rsidR="009F1E8B" w:rsidRPr="00247B01" w14:paraId="44FD542C"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095DB1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40028BC5"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3CB8E7FF"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1CA8FCE7"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19FAE68A"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$ 21.928.690.100</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496AED9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530</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262968D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730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1DA7AF50"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730</w:t>
            </w:r>
          </w:p>
        </w:tc>
      </w:tr>
      <w:tr w:rsidR="00247B01" w:rsidRPr="00247B01" w14:paraId="0D34DA5D"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4592FA1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329149F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Usme LEP</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0ACEEA50"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3EFFBC4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73E6D8FD"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$ 4.374.694.000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F630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30</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212642B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500</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3DAD547"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500</w:t>
            </w:r>
          </w:p>
        </w:tc>
      </w:tr>
      <w:tr w:rsidR="00247B01" w:rsidRPr="00247B01" w14:paraId="6E0AF595"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3FA9E5E5"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73E5604C"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41AC4935"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09814B00"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FDLUCD-439-2022</w:t>
            </w:r>
          </w:p>
        </w:tc>
        <w:tc>
          <w:tcPr>
            <w:tcW w:w="1618" w:type="dxa"/>
            <w:tcBorders>
              <w:top w:val="nil"/>
              <w:left w:val="nil"/>
              <w:bottom w:val="single" w:sz="4" w:space="0" w:color="auto"/>
              <w:right w:val="nil"/>
            </w:tcBorders>
            <w:shd w:val="clear" w:color="auto" w:fill="auto"/>
            <w:noWrap/>
            <w:vAlign w:val="bottom"/>
            <w:hideMark/>
          </w:tcPr>
          <w:p w14:paraId="4027032F"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$ 2.753.102.430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33B2072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30</w:t>
            </w:r>
          </w:p>
        </w:tc>
        <w:tc>
          <w:tcPr>
            <w:tcW w:w="1129" w:type="dxa"/>
            <w:tcBorders>
              <w:top w:val="nil"/>
              <w:left w:val="nil"/>
              <w:bottom w:val="single" w:sz="4" w:space="0" w:color="auto"/>
              <w:right w:val="single" w:sz="8" w:space="0" w:color="auto"/>
            </w:tcBorders>
            <w:shd w:val="clear" w:color="auto" w:fill="auto"/>
            <w:noWrap/>
            <w:vAlign w:val="bottom"/>
            <w:hideMark/>
          </w:tcPr>
          <w:p w14:paraId="4FC93E4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123</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667253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123</w:t>
            </w:r>
          </w:p>
        </w:tc>
      </w:tr>
      <w:tr w:rsidR="00247B01" w:rsidRPr="00247B01" w14:paraId="51F84F5D"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357C503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7D1EF86B"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282D0CE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63556A83"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FDLU-CD-520-2023</w:t>
            </w:r>
          </w:p>
        </w:tc>
        <w:tc>
          <w:tcPr>
            <w:tcW w:w="1618" w:type="dxa"/>
            <w:tcBorders>
              <w:top w:val="nil"/>
              <w:left w:val="nil"/>
              <w:bottom w:val="single" w:sz="4" w:space="0" w:color="auto"/>
              <w:right w:val="nil"/>
            </w:tcBorders>
            <w:shd w:val="clear" w:color="auto" w:fill="auto"/>
            <w:noWrap/>
            <w:vAlign w:val="bottom"/>
            <w:hideMark/>
          </w:tcPr>
          <w:p w14:paraId="5EE406F1"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$ 2.734.402.668</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6CEB4635"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30</w:t>
            </w:r>
          </w:p>
        </w:tc>
        <w:tc>
          <w:tcPr>
            <w:tcW w:w="1129" w:type="dxa"/>
            <w:tcBorders>
              <w:top w:val="nil"/>
              <w:left w:val="nil"/>
              <w:bottom w:val="single" w:sz="4" w:space="0" w:color="auto"/>
              <w:right w:val="single" w:sz="8" w:space="0" w:color="auto"/>
            </w:tcBorders>
            <w:shd w:val="clear" w:color="auto" w:fill="auto"/>
            <w:noWrap/>
            <w:vAlign w:val="bottom"/>
            <w:hideMark/>
          </w:tcPr>
          <w:p w14:paraId="18F1465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127</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B24E87F"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127</w:t>
            </w:r>
          </w:p>
        </w:tc>
      </w:tr>
      <w:tr w:rsidR="00247B01" w:rsidRPr="00247B01" w14:paraId="550F9D14"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3E098D1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0F773B59"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6C2C8671"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032E9756"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FDL-CI- 798-2024</w:t>
            </w:r>
          </w:p>
        </w:tc>
        <w:tc>
          <w:tcPr>
            <w:tcW w:w="1618" w:type="dxa"/>
            <w:tcBorders>
              <w:top w:val="nil"/>
              <w:left w:val="nil"/>
              <w:bottom w:val="single" w:sz="4" w:space="0" w:color="auto"/>
              <w:right w:val="nil"/>
            </w:tcBorders>
            <w:shd w:val="clear" w:color="auto" w:fill="auto"/>
            <w:noWrap/>
            <w:vAlign w:val="bottom"/>
            <w:hideMark/>
          </w:tcPr>
          <w:p w14:paraId="2D708281"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$ 3.465.564.649</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504B548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30</w:t>
            </w:r>
          </w:p>
        </w:tc>
        <w:tc>
          <w:tcPr>
            <w:tcW w:w="1129" w:type="dxa"/>
            <w:tcBorders>
              <w:top w:val="nil"/>
              <w:left w:val="nil"/>
              <w:bottom w:val="single" w:sz="4" w:space="0" w:color="auto"/>
              <w:right w:val="single" w:sz="8" w:space="0" w:color="auto"/>
            </w:tcBorders>
            <w:shd w:val="clear" w:color="auto" w:fill="auto"/>
            <w:noWrap/>
            <w:vAlign w:val="bottom"/>
            <w:hideMark/>
          </w:tcPr>
          <w:p w14:paraId="74F76CD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134</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5317D9E9"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134</w:t>
            </w:r>
          </w:p>
        </w:tc>
      </w:tr>
      <w:tr w:rsidR="009F1E8B" w:rsidRPr="00247B01" w14:paraId="72AEA6EE"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5309F58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401C75FC"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1EE724C2"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2479E2A5"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72F8A84F"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$ 13.327.763.747</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485DCCC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120</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518574F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884</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07E4E194"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884</w:t>
            </w:r>
          </w:p>
        </w:tc>
      </w:tr>
      <w:tr w:rsidR="00247B01" w:rsidRPr="009F1E8B" w14:paraId="7A3869F1" w14:textId="77777777" w:rsidTr="00247B01">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3146F33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FFFFFF"/>
            <w:noWrap/>
            <w:vAlign w:val="center"/>
            <w:hideMark/>
          </w:tcPr>
          <w:p w14:paraId="09EC8D06"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Tunjuelito</w:t>
            </w:r>
          </w:p>
        </w:tc>
        <w:tc>
          <w:tcPr>
            <w:tcW w:w="962" w:type="dxa"/>
            <w:tcBorders>
              <w:top w:val="nil"/>
              <w:left w:val="single" w:sz="4" w:space="0" w:color="auto"/>
              <w:bottom w:val="single" w:sz="4" w:space="0" w:color="auto"/>
              <w:right w:val="single" w:sz="4" w:space="0" w:color="auto"/>
            </w:tcBorders>
            <w:shd w:val="clear" w:color="auto" w:fill="FFFFFF"/>
            <w:noWrap/>
            <w:vAlign w:val="center"/>
            <w:hideMark/>
          </w:tcPr>
          <w:p w14:paraId="52EADA13"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FFFFFF"/>
            <w:noWrap/>
            <w:vAlign w:val="center"/>
            <w:hideMark/>
          </w:tcPr>
          <w:p w14:paraId="16BCDBE7"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FFFFFF"/>
            <w:noWrap/>
            <w:vAlign w:val="bottom"/>
            <w:hideMark/>
          </w:tcPr>
          <w:p w14:paraId="664CEDF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$ 1.956.826.751</w:t>
            </w:r>
          </w:p>
        </w:tc>
        <w:tc>
          <w:tcPr>
            <w:tcW w:w="104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0519CF5"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129" w:type="dxa"/>
            <w:tcBorders>
              <w:top w:val="single" w:sz="4" w:space="0" w:color="auto"/>
              <w:left w:val="nil"/>
              <w:bottom w:val="single" w:sz="4" w:space="0" w:color="auto"/>
              <w:right w:val="single" w:sz="8" w:space="0" w:color="auto"/>
            </w:tcBorders>
            <w:shd w:val="clear" w:color="auto" w:fill="FFFFFF"/>
            <w:noWrap/>
            <w:vAlign w:val="bottom"/>
            <w:hideMark/>
          </w:tcPr>
          <w:p w14:paraId="45FF2B6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041" w:type="dxa"/>
            <w:tcBorders>
              <w:top w:val="single" w:sz="4" w:space="0" w:color="auto"/>
              <w:left w:val="single" w:sz="4" w:space="0" w:color="auto"/>
              <w:bottom w:val="single" w:sz="4" w:space="0" w:color="auto"/>
              <w:right w:val="single" w:sz="8" w:space="0" w:color="auto"/>
            </w:tcBorders>
            <w:shd w:val="clear" w:color="auto" w:fill="FFFFFF"/>
            <w:noWrap/>
            <w:vAlign w:val="bottom"/>
            <w:hideMark/>
          </w:tcPr>
          <w:p w14:paraId="69303A4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45</w:t>
            </w:r>
          </w:p>
        </w:tc>
      </w:tr>
      <w:tr w:rsidR="00247B01" w:rsidRPr="009F1E8B" w14:paraId="3EB15050" w14:textId="77777777" w:rsidTr="00247B01">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61452C9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shd w:val="clear" w:color="auto" w:fill="FFFFFF"/>
            <w:vAlign w:val="center"/>
            <w:hideMark/>
          </w:tcPr>
          <w:p w14:paraId="35CBDE24"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FFFFFF"/>
            <w:noWrap/>
            <w:vAlign w:val="center"/>
            <w:hideMark/>
          </w:tcPr>
          <w:p w14:paraId="6915E3A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FFFFFF"/>
            <w:noWrap/>
            <w:vAlign w:val="center"/>
            <w:hideMark/>
          </w:tcPr>
          <w:p w14:paraId="07CAFF3F"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FDLT-CD-239-2022.</w:t>
            </w:r>
          </w:p>
        </w:tc>
        <w:tc>
          <w:tcPr>
            <w:tcW w:w="1618" w:type="dxa"/>
            <w:tcBorders>
              <w:top w:val="nil"/>
              <w:left w:val="nil"/>
              <w:bottom w:val="single" w:sz="4" w:space="0" w:color="auto"/>
              <w:right w:val="nil"/>
            </w:tcBorders>
            <w:shd w:val="clear" w:color="auto" w:fill="FFFFFF"/>
            <w:noWrap/>
            <w:vAlign w:val="bottom"/>
            <w:hideMark/>
          </w:tcPr>
          <w:p w14:paraId="11AEC03F"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$ 2.235.326.000</w:t>
            </w:r>
          </w:p>
        </w:tc>
        <w:tc>
          <w:tcPr>
            <w:tcW w:w="1041" w:type="dxa"/>
            <w:tcBorders>
              <w:top w:val="nil"/>
              <w:left w:val="single" w:sz="4" w:space="0" w:color="auto"/>
              <w:bottom w:val="single" w:sz="4" w:space="0" w:color="auto"/>
              <w:right w:val="single" w:sz="4" w:space="0" w:color="auto"/>
            </w:tcBorders>
            <w:shd w:val="clear" w:color="auto" w:fill="FFFFFF"/>
            <w:noWrap/>
            <w:vAlign w:val="bottom"/>
            <w:hideMark/>
          </w:tcPr>
          <w:p w14:paraId="7811F8B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129" w:type="dxa"/>
            <w:tcBorders>
              <w:top w:val="nil"/>
              <w:left w:val="nil"/>
              <w:bottom w:val="single" w:sz="4" w:space="0" w:color="auto"/>
              <w:right w:val="single" w:sz="8" w:space="0" w:color="auto"/>
            </w:tcBorders>
            <w:shd w:val="clear" w:color="auto" w:fill="FFFFFF"/>
            <w:noWrap/>
            <w:vAlign w:val="bottom"/>
            <w:hideMark/>
          </w:tcPr>
          <w:p w14:paraId="6480724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041" w:type="dxa"/>
            <w:tcBorders>
              <w:top w:val="nil"/>
              <w:left w:val="single" w:sz="4" w:space="0" w:color="auto"/>
              <w:bottom w:val="single" w:sz="4" w:space="0" w:color="auto"/>
              <w:right w:val="single" w:sz="8" w:space="0" w:color="auto"/>
            </w:tcBorders>
            <w:shd w:val="clear" w:color="auto" w:fill="FFFFFF"/>
            <w:noWrap/>
            <w:vAlign w:val="bottom"/>
            <w:hideMark/>
          </w:tcPr>
          <w:p w14:paraId="2EAD054E"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45</w:t>
            </w:r>
          </w:p>
        </w:tc>
      </w:tr>
      <w:tr w:rsidR="00247B01" w:rsidRPr="009F1E8B" w14:paraId="57F531DE" w14:textId="77777777" w:rsidTr="00247B01">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3362D1C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shd w:val="clear" w:color="auto" w:fill="FFFFFF"/>
            <w:vAlign w:val="center"/>
            <w:hideMark/>
          </w:tcPr>
          <w:p w14:paraId="7116620F"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FFFFFF"/>
            <w:noWrap/>
            <w:vAlign w:val="center"/>
            <w:hideMark/>
          </w:tcPr>
          <w:p w14:paraId="02BCBE15"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FFFFFF"/>
            <w:noWrap/>
            <w:vAlign w:val="center"/>
            <w:hideMark/>
          </w:tcPr>
          <w:p w14:paraId="1DD4DD0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FDLT-CI-002-2023</w:t>
            </w:r>
          </w:p>
        </w:tc>
        <w:tc>
          <w:tcPr>
            <w:tcW w:w="1618" w:type="dxa"/>
            <w:tcBorders>
              <w:top w:val="nil"/>
              <w:left w:val="nil"/>
              <w:bottom w:val="single" w:sz="4" w:space="0" w:color="auto"/>
              <w:right w:val="nil"/>
            </w:tcBorders>
            <w:shd w:val="clear" w:color="auto" w:fill="FFFFFF"/>
            <w:noWrap/>
            <w:vAlign w:val="bottom"/>
            <w:hideMark/>
          </w:tcPr>
          <w:p w14:paraId="0A2F641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$ 3.127.100.000</w:t>
            </w:r>
          </w:p>
        </w:tc>
        <w:tc>
          <w:tcPr>
            <w:tcW w:w="1041" w:type="dxa"/>
            <w:tcBorders>
              <w:top w:val="nil"/>
              <w:left w:val="single" w:sz="4" w:space="0" w:color="auto"/>
              <w:bottom w:val="single" w:sz="4" w:space="0" w:color="auto"/>
              <w:right w:val="single" w:sz="4" w:space="0" w:color="auto"/>
            </w:tcBorders>
            <w:shd w:val="clear" w:color="auto" w:fill="FFFFFF"/>
            <w:noWrap/>
            <w:vAlign w:val="bottom"/>
            <w:hideMark/>
          </w:tcPr>
          <w:p w14:paraId="57202A2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129" w:type="dxa"/>
            <w:tcBorders>
              <w:top w:val="nil"/>
              <w:left w:val="nil"/>
              <w:bottom w:val="single" w:sz="4" w:space="0" w:color="auto"/>
              <w:right w:val="single" w:sz="8" w:space="0" w:color="auto"/>
            </w:tcBorders>
            <w:shd w:val="clear" w:color="auto" w:fill="FFFFFF"/>
            <w:noWrap/>
            <w:vAlign w:val="bottom"/>
            <w:hideMark/>
          </w:tcPr>
          <w:p w14:paraId="07FD61C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041" w:type="dxa"/>
            <w:tcBorders>
              <w:top w:val="nil"/>
              <w:left w:val="single" w:sz="4" w:space="0" w:color="auto"/>
              <w:bottom w:val="single" w:sz="4" w:space="0" w:color="auto"/>
              <w:right w:val="single" w:sz="8" w:space="0" w:color="auto"/>
            </w:tcBorders>
            <w:shd w:val="clear" w:color="auto" w:fill="FFFFFF"/>
            <w:noWrap/>
            <w:vAlign w:val="bottom"/>
            <w:hideMark/>
          </w:tcPr>
          <w:p w14:paraId="1E9BBED8"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45</w:t>
            </w:r>
          </w:p>
        </w:tc>
      </w:tr>
      <w:tr w:rsidR="00247B01" w:rsidRPr="009F1E8B" w14:paraId="40761578" w14:textId="77777777" w:rsidTr="00247B01">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748703D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shd w:val="clear" w:color="auto" w:fill="FFFFFF"/>
            <w:vAlign w:val="center"/>
            <w:hideMark/>
          </w:tcPr>
          <w:p w14:paraId="7AAB220C"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FFFFFF"/>
            <w:noWrap/>
            <w:vAlign w:val="center"/>
            <w:hideMark/>
          </w:tcPr>
          <w:p w14:paraId="12462990"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FFFFFF"/>
            <w:noWrap/>
            <w:vAlign w:val="center"/>
            <w:hideMark/>
          </w:tcPr>
          <w:p w14:paraId="28B52EE3"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445-2024 CI (118257)</w:t>
            </w:r>
          </w:p>
        </w:tc>
        <w:tc>
          <w:tcPr>
            <w:tcW w:w="1618" w:type="dxa"/>
            <w:tcBorders>
              <w:top w:val="nil"/>
              <w:left w:val="nil"/>
              <w:bottom w:val="single" w:sz="4" w:space="0" w:color="auto"/>
              <w:right w:val="nil"/>
            </w:tcBorders>
            <w:shd w:val="clear" w:color="auto" w:fill="FFFFFF"/>
            <w:noWrap/>
            <w:vAlign w:val="bottom"/>
            <w:hideMark/>
          </w:tcPr>
          <w:p w14:paraId="49D48F6F"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$ 3.437.300.000</w:t>
            </w:r>
          </w:p>
        </w:tc>
        <w:tc>
          <w:tcPr>
            <w:tcW w:w="1041" w:type="dxa"/>
            <w:tcBorders>
              <w:top w:val="nil"/>
              <w:left w:val="single" w:sz="4" w:space="0" w:color="auto"/>
              <w:bottom w:val="single" w:sz="4" w:space="0" w:color="auto"/>
              <w:right w:val="single" w:sz="4" w:space="0" w:color="auto"/>
            </w:tcBorders>
            <w:shd w:val="clear" w:color="auto" w:fill="FFFFFF"/>
            <w:noWrap/>
            <w:vAlign w:val="bottom"/>
            <w:hideMark/>
          </w:tcPr>
          <w:p w14:paraId="7A8F6E6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129" w:type="dxa"/>
            <w:tcBorders>
              <w:top w:val="nil"/>
              <w:left w:val="nil"/>
              <w:bottom w:val="single" w:sz="4" w:space="0" w:color="auto"/>
              <w:right w:val="single" w:sz="8" w:space="0" w:color="auto"/>
            </w:tcBorders>
            <w:shd w:val="clear" w:color="auto" w:fill="FFFFFF"/>
            <w:noWrap/>
            <w:vAlign w:val="bottom"/>
            <w:hideMark/>
          </w:tcPr>
          <w:p w14:paraId="6B8BB13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041" w:type="dxa"/>
            <w:tcBorders>
              <w:top w:val="nil"/>
              <w:left w:val="single" w:sz="4" w:space="0" w:color="auto"/>
              <w:bottom w:val="single" w:sz="4" w:space="0" w:color="auto"/>
              <w:right w:val="single" w:sz="8" w:space="0" w:color="auto"/>
            </w:tcBorders>
            <w:shd w:val="clear" w:color="auto" w:fill="FFFFFF"/>
            <w:noWrap/>
            <w:vAlign w:val="bottom"/>
            <w:hideMark/>
          </w:tcPr>
          <w:p w14:paraId="691AB3F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45</w:t>
            </w:r>
          </w:p>
        </w:tc>
      </w:tr>
      <w:tr w:rsidR="009F1E8B" w:rsidRPr="00247B01" w14:paraId="5884EDEE"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D226C2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7C9C83B6"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1B75D202"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120657FE"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186A66C5" w14:textId="77777777" w:rsidR="00247B01" w:rsidRPr="00247B01" w:rsidRDefault="00247B01" w:rsidP="00247B01">
            <w:pPr>
              <w:jc w:val="right"/>
              <w:rPr>
                <w:rFonts w:ascii="Garamond" w:hAnsi="Garamond"/>
                <w:b/>
                <w:bCs/>
                <w:color w:val="FF0000"/>
                <w:sz w:val="16"/>
                <w:szCs w:val="16"/>
                <w:lang w:eastAsia="es-CO"/>
              </w:rPr>
            </w:pPr>
            <w:r w:rsidRPr="00247B01">
              <w:rPr>
                <w:rFonts w:ascii="Garamond" w:hAnsi="Garamond"/>
                <w:b/>
                <w:bCs/>
                <w:sz w:val="16"/>
                <w:szCs w:val="16"/>
                <w:lang w:eastAsia="es-CO"/>
              </w:rPr>
              <w:t>$ 10.756.552.751</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44F54F9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180</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11FAF3EE"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180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636C9B0B"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180</w:t>
            </w:r>
          </w:p>
        </w:tc>
      </w:tr>
      <w:tr w:rsidR="00247B01" w:rsidRPr="00247B01" w14:paraId="0CC8DC9E"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7EA8A3B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269E9986"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Bosa LEP</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2D7479EE"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6876678A"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216F0F4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$ 6.218.773.000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A9B3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139</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7812820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647</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913EF1B"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647</w:t>
            </w:r>
          </w:p>
        </w:tc>
      </w:tr>
      <w:tr w:rsidR="00247B01" w:rsidRPr="00247B01" w14:paraId="4FE157BA"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10C44BF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55A38099"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7C89520F"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3B1DF98B"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FDLBOSA_482_2022(75241)</w:t>
            </w:r>
          </w:p>
        </w:tc>
        <w:tc>
          <w:tcPr>
            <w:tcW w:w="1618" w:type="dxa"/>
            <w:tcBorders>
              <w:top w:val="nil"/>
              <w:left w:val="nil"/>
              <w:bottom w:val="single" w:sz="4" w:space="0" w:color="auto"/>
              <w:right w:val="nil"/>
            </w:tcBorders>
            <w:shd w:val="clear" w:color="auto" w:fill="auto"/>
            <w:noWrap/>
            <w:vAlign w:val="bottom"/>
            <w:hideMark/>
          </w:tcPr>
          <w:p w14:paraId="07FB1926"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$ 7.416.000.000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7007D8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130</w:t>
            </w:r>
          </w:p>
        </w:tc>
        <w:tc>
          <w:tcPr>
            <w:tcW w:w="1129" w:type="dxa"/>
            <w:tcBorders>
              <w:top w:val="nil"/>
              <w:left w:val="nil"/>
              <w:bottom w:val="single" w:sz="4" w:space="0" w:color="auto"/>
              <w:right w:val="single" w:sz="8" w:space="0" w:color="auto"/>
            </w:tcBorders>
            <w:shd w:val="clear" w:color="auto" w:fill="auto"/>
            <w:noWrap/>
            <w:vAlign w:val="bottom"/>
            <w:hideMark/>
          </w:tcPr>
          <w:p w14:paraId="78DB884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130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190780B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130</w:t>
            </w:r>
          </w:p>
        </w:tc>
      </w:tr>
      <w:tr w:rsidR="00247B01" w:rsidRPr="00247B01" w14:paraId="33704519"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12EF485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00B746A4"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121DBFE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1A58790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FDLBOSACD_376_2023</w:t>
            </w:r>
          </w:p>
        </w:tc>
        <w:tc>
          <w:tcPr>
            <w:tcW w:w="1618" w:type="dxa"/>
            <w:tcBorders>
              <w:top w:val="nil"/>
              <w:left w:val="nil"/>
              <w:bottom w:val="single" w:sz="4" w:space="0" w:color="auto"/>
              <w:right w:val="nil"/>
            </w:tcBorders>
            <w:shd w:val="clear" w:color="auto" w:fill="auto"/>
            <w:noWrap/>
            <w:vAlign w:val="bottom"/>
            <w:hideMark/>
          </w:tcPr>
          <w:p w14:paraId="4F271083"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$ 11.494.800.000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28B15E6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250</w:t>
            </w:r>
          </w:p>
        </w:tc>
        <w:tc>
          <w:tcPr>
            <w:tcW w:w="1129" w:type="dxa"/>
            <w:tcBorders>
              <w:top w:val="nil"/>
              <w:left w:val="nil"/>
              <w:bottom w:val="single" w:sz="4" w:space="0" w:color="auto"/>
              <w:right w:val="single" w:sz="8" w:space="0" w:color="auto"/>
            </w:tcBorders>
            <w:shd w:val="clear" w:color="auto" w:fill="auto"/>
            <w:noWrap/>
            <w:vAlign w:val="bottom"/>
            <w:hideMark/>
          </w:tcPr>
          <w:p w14:paraId="37803BE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250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D86477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250</w:t>
            </w:r>
          </w:p>
        </w:tc>
      </w:tr>
      <w:tr w:rsidR="00247B01" w:rsidRPr="00247B01" w14:paraId="50F14B9A"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751791A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243B3E4F"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0FD22EC0"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single" w:sz="4" w:space="0" w:color="auto"/>
              <w:right w:val="single" w:sz="4" w:space="0" w:color="auto"/>
            </w:tcBorders>
            <w:shd w:val="clear" w:color="auto" w:fill="auto"/>
            <w:noWrap/>
            <w:vAlign w:val="center"/>
            <w:hideMark/>
          </w:tcPr>
          <w:p w14:paraId="0D582B4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FDLBOSACD_354_2024</w:t>
            </w:r>
          </w:p>
        </w:tc>
        <w:tc>
          <w:tcPr>
            <w:tcW w:w="1618" w:type="dxa"/>
            <w:tcBorders>
              <w:top w:val="nil"/>
              <w:left w:val="nil"/>
              <w:bottom w:val="single" w:sz="4" w:space="0" w:color="auto"/>
              <w:right w:val="nil"/>
            </w:tcBorders>
            <w:shd w:val="clear" w:color="auto" w:fill="auto"/>
            <w:noWrap/>
            <w:vAlign w:val="bottom"/>
            <w:hideMark/>
          </w:tcPr>
          <w:p w14:paraId="0A803C9A"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$ 14.252.000.000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74A1873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220</w:t>
            </w:r>
          </w:p>
        </w:tc>
        <w:tc>
          <w:tcPr>
            <w:tcW w:w="1129" w:type="dxa"/>
            <w:tcBorders>
              <w:top w:val="nil"/>
              <w:left w:val="nil"/>
              <w:bottom w:val="single" w:sz="4" w:space="0" w:color="auto"/>
              <w:right w:val="single" w:sz="8" w:space="0" w:color="auto"/>
            </w:tcBorders>
            <w:shd w:val="clear" w:color="auto" w:fill="auto"/>
            <w:noWrap/>
            <w:vAlign w:val="bottom"/>
            <w:hideMark/>
          </w:tcPr>
          <w:p w14:paraId="73CCDCF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220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15469C9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220</w:t>
            </w:r>
          </w:p>
        </w:tc>
      </w:tr>
      <w:tr w:rsidR="009F1E8B" w:rsidRPr="00247B01" w14:paraId="39F76B7E"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53EE467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7712E054"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2A34FC30"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4DBB9913"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30EC4D5D"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$ 39.381.573.000</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7460ABFE"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739</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3BB32CDB"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1247</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63CC9184"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1247</w:t>
            </w:r>
          </w:p>
        </w:tc>
      </w:tr>
      <w:tr w:rsidR="00247B01" w:rsidRPr="00247B01" w14:paraId="26783FE2"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63E381E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29FAB563"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Kennedy</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120D5B3A"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257185C1"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0F25141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$ 7.920.797.388</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1253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125</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217DFE9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0</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99D66A8"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125</w:t>
            </w:r>
          </w:p>
        </w:tc>
      </w:tr>
      <w:tr w:rsidR="00247B01" w:rsidRPr="00247B01" w14:paraId="762B4C65"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6E37768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60CAE013"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2031A3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2C1247C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FDLK-CIA-562-2022</w:t>
            </w:r>
          </w:p>
        </w:tc>
        <w:tc>
          <w:tcPr>
            <w:tcW w:w="1618" w:type="dxa"/>
            <w:tcBorders>
              <w:top w:val="nil"/>
              <w:left w:val="nil"/>
              <w:bottom w:val="single" w:sz="4" w:space="0" w:color="auto"/>
              <w:right w:val="nil"/>
            </w:tcBorders>
            <w:shd w:val="clear" w:color="auto" w:fill="auto"/>
            <w:noWrap/>
            <w:vAlign w:val="bottom"/>
            <w:hideMark/>
          </w:tcPr>
          <w:p w14:paraId="5457E71E"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$ 9.374.373.000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B4A5D9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277</w:t>
            </w:r>
          </w:p>
        </w:tc>
        <w:tc>
          <w:tcPr>
            <w:tcW w:w="1129" w:type="dxa"/>
            <w:tcBorders>
              <w:top w:val="nil"/>
              <w:left w:val="nil"/>
              <w:bottom w:val="single" w:sz="4" w:space="0" w:color="auto"/>
              <w:right w:val="single" w:sz="8" w:space="0" w:color="auto"/>
            </w:tcBorders>
            <w:shd w:val="clear" w:color="auto" w:fill="auto"/>
            <w:noWrap/>
            <w:vAlign w:val="bottom"/>
            <w:hideMark/>
          </w:tcPr>
          <w:p w14:paraId="7EF52EB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1F0DF98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277</w:t>
            </w:r>
          </w:p>
        </w:tc>
      </w:tr>
      <w:tr w:rsidR="00247B01" w:rsidRPr="00247B01" w14:paraId="7D117431"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761EA50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10AE75A2"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0FE38B37"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27607BC6"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FDLK-CIA-527-2023</w:t>
            </w:r>
          </w:p>
        </w:tc>
        <w:tc>
          <w:tcPr>
            <w:tcW w:w="1618" w:type="dxa"/>
            <w:tcBorders>
              <w:top w:val="nil"/>
              <w:left w:val="nil"/>
              <w:bottom w:val="single" w:sz="4" w:space="0" w:color="auto"/>
              <w:right w:val="nil"/>
            </w:tcBorders>
            <w:shd w:val="clear" w:color="auto" w:fill="auto"/>
            <w:noWrap/>
            <w:vAlign w:val="bottom"/>
            <w:hideMark/>
          </w:tcPr>
          <w:p w14:paraId="3B7916A6"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$ 8.181.860.000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2F66AF3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125</w:t>
            </w:r>
          </w:p>
        </w:tc>
        <w:tc>
          <w:tcPr>
            <w:tcW w:w="1129" w:type="dxa"/>
            <w:tcBorders>
              <w:top w:val="nil"/>
              <w:left w:val="nil"/>
              <w:bottom w:val="single" w:sz="4" w:space="0" w:color="auto"/>
              <w:right w:val="single" w:sz="8" w:space="0" w:color="auto"/>
            </w:tcBorders>
            <w:shd w:val="clear" w:color="auto" w:fill="auto"/>
            <w:noWrap/>
            <w:vAlign w:val="bottom"/>
            <w:hideMark/>
          </w:tcPr>
          <w:p w14:paraId="115D248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3D4E39F0"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125</w:t>
            </w:r>
          </w:p>
        </w:tc>
      </w:tr>
      <w:tr w:rsidR="00247B01" w:rsidRPr="00247B01" w14:paraId="2775D4F3"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21A36AF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154C8165"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330CC17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single" w:sz="4" w:space="0" w:color="auto"/>
              <w:right w:val="single" w:sz="4" w:space="0" w:color="auto"/>
            </w:tcBorders>
            <w:shd w:val="clear" w:color="auto" w:fill="auto"/>
            <w:noWrap/>
            <w:vAlign w:val="center"/>
            <w:hideMark/>
          </w:tcPr>
          <w:p w14:paraId="0B67519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FDLK-CIA-666-2024</w:t>
            </w:r>
          </w:p>
        </w:tc>
        <w:tc>
          <w:tcPr>
            <w:tcW w:w="1618" w:type="dxa"/>
            <w:tcBorders>
              <w:top w:val="nil"/>
              <w:left w:val="nil"/>
              <w:bottom w:val="single" w:sz="4" w:space="0" w:color="auto"/>
              <w:right w:val="nil"/>
            </w:tcBorders>
            <w:shd w:val="clear" w:color="auto" w:fill="auto"/>
            <w:noWrap/>
            <w:vAlign w:val="bottom"/>
            <w:hideMark/>
          </w:tcPr>
          <w:p w14:paraId="15B1F9C1"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$ 8.500.000.000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67C72A2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125</w:t>
            </w:r>
          </w:p>
        </w:tc>
        <w:tc>
          <w:tcPr>
            <w:tcW w:w="1129" w:type="dxa"/>
            <w:tcBorders>
              <w:top w:val="nil"/>
              <w:left w:val="nil"/>
              <w:bottom w:val="single" w:sz="4" w:space="0" w:color="auto"/>
              <w:right w:val="single" w:sz="8" w:space="0" w:color="auto"/>
            </w:tcBorders>
            <w:shd w:val="clear" w:color="auto" w:fill="auto"/>
            <w:noWrap/>
            <w:vAlign w:val="bottom"/>
            <w:hideMark/>
          </w:tcPr>
          <w:p w14:paraId="5EA9914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2A3752F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125</w:t>
            </w:r>
          </w:p>
        </w:tc>
      </w:tr>
      <w:tr w:rsidR="009F1E8B" w:rsidRPr="00247B01" w14:paraId="49645DCD"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E77293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6C762DDA"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0CC9E7A1"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38C7C077"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622F58D0"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$ 33.977.030.388</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4D6F1D9F"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652</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3AD0327B"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602D6ABA"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652</w:t>
            </w:r>
          </w:p>
        </w:tc>
      </w:tr>
      <w:tr w:rsidR="00247B01" w:rsidRPr="00247B01" w14:paraId="4FB32D07"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2A6F6175"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0DFA9322"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Fontibón LEP</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0EB39B8"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3B1234CA"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4480074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$ 1.765.266.018</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3AC6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50</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68197FB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100</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545BEB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100</w:t>
            </w:r>
          </w:p>
        </w:tc>
      </w:tr>
      <w:tr w:rsidR="00247B01" w:rsidRPr="00247B01" w14:paraId="0DB1FBAD"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27D3539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713B815A"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12DE594D"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77149F5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FDLF-310-2022</w:t>
            </w:r>
          </w:p>
        </w:tc>
        <w:tc>
          <w:tcPr>
            <w:tcW w:w="1618" w:type="dxa"/>
            <w:tcBorders>
              <w:top w:val="nil"/>
              <w:left w:val="nil"/>
              <w:bottom w:val="single" w:sz="4" w:space="0" w:color="auto"/>
              <w:right w:val="nil"/>
            </w:tcBorders>
            <w:shd w:val="clear" w:color="auto" w:fill="auto"/>
            <w:noWrap/>
            <w:vAlign w:val="bottom"/>
            <w:hideMark/>
          </w:tcPr>
          <w:p w14:paraId="6D318134"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$ 1.986.403.000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1F36958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50</w:t>
            </w:r>
          </w:p>
        </w:tc>
        <w:tc>
          <w:tcPr>
            <w:tcW w:w="1129" w:type="dxa"/>
            <w:tcBorders>
              <w:top w:val="nil"/>
              <w:left w:val="nil"/>
              <w:bottom w:val="single" w:sz="4" w:space="0" w:color="auto"/>
              <w:right w:val="single" w:sz="8" w:space="0" w:color="auto"/>
            </w:tcBorders>
            <w:shd w:val="clear" w:color="auto" w:fill="auto"/>
            <w:noWrap/>
            <w:vAlign w:val="bottom"/>
            <w:hideMark/>
          </w:tcPr>
          <w:p w14:paraId="0C12928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100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3F8C8AB4"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100</w:t>
            </w:r>
          </w:p>
        </w:tc>
      </w:tr>
      <w:tr w:rsidR="00247B01" w:rsidRPr="00247B01" w14:paraId="2B89FCC0"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0010DEF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224739CC"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21810F32"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6F30A83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FDLCH-281-2023</w:t>
            </w:r>
          </w:p>
        </w:tc>
        <w:tc>
          <w:tcPr>
            <w:tcW w:w="1618" w:type="dxa"/>
            <w:tcBorders>
              <w:top w:val="nil"/>
              <w:left w:val="nil"/>
              <w:bottom w:val="single" w:sz="4" w:space="0" w:color="auto"/>
              <w:right w:val="nil"/>
            </w:tcBorders>
            <w:shd w:val="clear" w:color="auto" w:fill="auto"/>
            <w:noWrap/>
            <w:vAlign w:val="bottom"/>
            <w:hideMark/>
          </w:tcPr>
          <w:p w14:paraId="38B2F30B"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$ 3.202.929.000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422C08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80</w:t>
            </w:r>
          </w:p>
        </w:tc>
        <w:tc>
          <w:tcPr>
            <w:tcW w:w="1129" w:type="dxa"/>
            <w:tcBorders>
              <w:top w:val="nil"/>
              <w:left w:val="nil"/>
              <w:bottom w:val="single" w:sz="4" w:space="0" w:color="auto"/>
              <w:right w:val="single" w:sz="8" w:space="0" w:color="auto"/>
            </w:tcBorders>
            <w:shd w:val="clear" w:color="auto" w:fill="auto"/>
            <w:noWrap/>
            <w:vAlign w:val="bottom"/>
            <w:hideMark/>
          </w:tcPr>
          <w:p w14:paraId="04415C4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100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5A7DEA1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100</w:t>
            </w:r>
          </w:p>
        </w:tc>
      </w:tr>
      <w:tr w:rsidR="00247B01" w:rsidRPr="00247B01" w14:paraId="7070FA51"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67B2126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lastRenderedPageBreak/>
              <w:t>4</w:t>
            </w:r>
          </w:p>
        </w:tc>
        <w:tc>
          <w:tcPr>
            <w:tcW w:w="1282" w:type="dxa"/>
            <w:vMerge/>
            <w:tcBorders>
              <w:top w:val="nil"/>
              <w:left w:val="single" w:sz="4" w:space="0" w:color="auto"/>
              <w:bottom w:val="single" w:sz="8" w:space="0" w:color="000000"/>
              <w:right w:val="nil"/>
            </w:tcBorders>
            <w:vAlign w:val="center"/>
            <w:hideMark/>
          </w:tcPr>
          <w:p w14:paraId="35793CFB"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0725462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single" w:sz="4" w:space="0" w:color="auto"/>
              <w:right w:val="single" w:sz="4" w:space="0" w:color="auto"/>
            </w:tcBorders>
            <w:shd w:val="clear" w:color="auto" w:fill="auto"/>
            <w:noWrap/>
            <w:vAlign w:val="center"/>
            <w:hideMark/>
          </w:tcPr>
          <w:p w14:paraId="3C01C96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FDLCH-388-2024</w:t>
            </w:r>
          </w:p>
        </w:tc>
        <w:tc>
          <w:tcPr>
            <w:tcW w:w="1618" w:type="dxa"/>
            <w:tcBorders>
              <w:top w:val="nil"/>
              <w:left w:val="nil"/>
              <w:bottom w:val="single" w:sz="4" w:space="0" w:color="auto"/>
              <w:right w:val="nil"/>
            </w:tcBorders>
            <w:shd w:val="clear" w:color="auto" w:fill="auto"/>
            <w:noWrap/>
            <w:vAlign w:val="bottom"/>
            <w:hideMark/>
          </w:tcPr>
          <w:p w14:paraId="2B98F9FF"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$ 4.162.531.000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26BB633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50</w:t>
            </w:r>
          </w:p>
        </w:tc>
        <w:tc>
          <w:tcPr>
            <w:tcW w:w="1129" w:type="dxa"/>
            <w:tcBorders>
              <w:top w:val="nil"/>
              <w:left w:val="nil"/>
              <w:bottom w:val="single" w:sz="4" w:space="0" w:color="auto"/>
              <w:right w:val="single" w:sz="8" w:space="0" w:color="auto"/>
            </w:tcBorders>
            <w:shd w:val="clear" w:color="auto" w:fill="auto"/>
            <w:noWrap/>
            <w:vAlign w:val="bottom"/>
            <w:hideMark/>
          </w:tcPr>
          <w:p w14:paraId="7DDAC61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100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CEE63A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100</w:t>
            </w:r>
          </w:p>
        </w:tc>
      </w:tr>
      <w:tr w:rsidR="009F1E8B" w:rsidRPr="00247B01" w14:paraId="1B56FD55"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393FE5A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635AAEDB"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28F2EA51"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0A13E857"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38C50CF3"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$ 11.117.129.018</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7A8E9AB8"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230</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4BD279E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400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649AA27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400</w:t>
            </w:r>
          </w:p>
        </w:tc>
      </w:tr>
      <w:tr w:rsidR="00247B01" w:rsidRPr="00247B01" w14:paraId="78404FD2"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73415A6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2D3607E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xml:space="preserve">Engativá </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0CDAAEC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3C707537"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414DA62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$ 3.879.368.000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C2AF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58</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3138344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58</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43B0BCB"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58</w:t>
            </w:r>
          </w:p>
        </w:tc>
      </w:tr>
      <w:tr w:rsidR="00247B01" w:rsidRPr="00247B01" w14:paraId="5D672986"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56432CC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6A19303F"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35CC0F1"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7862D881"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FDLE-CD-448-2022 </w:t>
            </w:r>
          </w:p>
        </w:tc>
        <w:tc>
          <w:tcPr>
            <w:tcW w:w="1618" w:type="dxa"/>
            <w:tcBorders>
              <w:top w:val="nil"/>
              <w:left w:val="nil"/>
              <w:bottom w:val="single" w:sz="4" w:space="0" w:color="auto"/>
              <w:right w:val="nil"/>
            </w:tcBorders>
            <w:shd w:val="clear" w:color="auto" w:fill="auto"/>
            <w:noWrap/>
            <w:vAlign w:val="bottom"/>
            <w:hideMark/>
          </w:tcPr>
          <w:p w14:paraId="0318CFD8"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$ 4.237.090.016</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69EA320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58</w:t>
            </w:r>
          </w:p>
        </w:tc>
        <w:tc>
          <w:tcPr>
            <w:tcW w:w="1129" w:type="dxa"/>
            <w:tcBorders>
              <w:top w:val="nil"/>
              <w:left w:val="nil"/>
              <w:bottom w:val="single" w:sz="4" w:space="0" w:color="auto"/>
              <w:right w:val="single" w:sz="8" w:space="0" w:color="auto"/>
            </w:tcBorders>
            <w:shd w:val="clear" w:color="auto" w:fill="auto"/>
            <w:noWrap/>
            <w:vAlign w:val="bottom"/>
            <w:hideMark/>
          </w:tcPr>
          <w:p w14:paraId="588F6A2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58</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10E9337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58</w:t>
            </w:r>
          </w:p>
        </w:tc>
      </w:tr>
      <w:tr w:rsidR="00247B01" w:rsidRPr="00247B01" w14:paraId="0DCB6401"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59B0F1B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7435D2DE"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4FE7833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7FA286E9"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FDLE-CD-487-2023</w:t>
            </w:r>
          </w:p>
        </w:tc>
        <w:tc>
          <w:tcPr>
            <w:tcW w:w="1618" w:type="dxa"/>
            <w:tcBorders>
              <w:top w:val="nil"/>
              <w:left w:val="nil"/>
              <w:bottom w:val="single" w:sz="4" w:space="0" w:color="auto"/>
              <w:right w:val="nil"/>
            </w:tcBorders>
            <w:shd w:val="clear" w:color="auto" w:fill="auto"/>
            <w:noWrap/>
            <w:vAlign w:val="bottom"/>
            <w:hideMark/>
          </w:tcPr>
          <w:p w14:paraId="191E8AFD"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$ 4.148.535.093</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3C6C69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89</w:t>
            </w:r>
          </w:p>
        </w:tc>
        <w:tc>
          <w:tcPr>
            <w:tcW w:w="1129" w:type="dxa"/>
            <w:tcBorders>
              <w:top w:val="nil"/>
              <w:left w:val="nil"/>
              <w:bottom w:val="single" w:sz="4" w:space="0" w:color="auto"/>
              <w:right w:val="single" w:sz="8" w:space="0" w:color="auto"/>
            </w:tcBorders>
            <w:shd w:val="clear" w:color="auto" w:fill="auto"/>
            <w:noWrap/>
            <w:vAlign w:val="bottom"/>
            <w:hideMark/>
          </w:tcPr>
          <w:p w14:paraId="3BBCFE3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89</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5C719E1B"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89</w:t>
            </w:r>
          </w:p>
        </w:tc>
      </w:tr>
      <w:tr w:rsidR="00247B01" w:rsidRPr="00247B01" w14:paraId="60656DF6"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4EC826F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6F8AEEAC"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3FF337BE"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single" w:sz="4" w:space="0" w:color="auto"/>
              <w:right w:val="single" w:sz="4" w:space="0" w:color="auto"/>
            </w:tcBorders>
            <w:shd w:val="clear" w:color="auto" w:fill="auto"/>
            <w:noWrap/>
            <w:vAlign w:val="center"/>
            <w:hideMark/>
          </w:tcPr>
          <w:p w14:paraId="70AE463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FDLE-CD-578-2024</w:t>
            </w:r>
          </w:p>
        </w:tc>
        <w:tc>
          <w:tcPr>
            <w:tcW w:w="1618" w:type="dxa"/>
            <w:tcBorders>
              <w:top w:val="nil"/>
              <w:left w:val="nil"/>
              <w:bottom w:val="single" w:sz="4" w:space="0" w:color="auto"/>
              <w:right w:val="nil"/>
            </w:tcBorders>
            <w:shd w:val="clear" w:color="auto" w:fill="auto"/>
            <w:noWrap/>
            <w:vAlign w:val="bottom"/>
            <w:hideMark/>
          </w:tcPr>
          <w:p w14:paraId="68C8B62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$ 4.353.494.852</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7700A78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58</w:t>
            </w:r>
          </w:p>
        </w:tc>
        <w:tc>
          <w:tcPr>
            <w:tcW w:w="1129" w:type="dxa"/>
            <w:tcBorders>
              <w:top w:val="nil"/>
              <w:left w:val="nil"/>
              <w:bottom w:val="single" w:sz="4" w:space="0" w:color="auto"/>
              <w:right w:val="single" w:sz="8" w:space="0" w:color="auto"/>
            </w:tcBorders>
            <w:shd w:val="clear" w:color="auto" w:fill="auto"/>
            <w:noWrap/>
            <w:vAlign w:val="bottom"/>
            <w:hideMark/>
          </w:tcPr>
          <w:p w14:paraId="6F28743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58</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DFFFBA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58</w:t>
            </w:r>
          </w:p>
        </w:tc>
      </w:tr>
      <w:tr w:rsidR="009F1E8B" w:rsidRPr="00247B01" w14:paraId="33CA3C2B"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2E3856C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4266C78C"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7C020DDD"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75DAC67A"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64FD2570"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$ 16.618.487.961</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5E9221E9"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263</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272BDAE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263</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5878F7E0"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263</w:t>
            </w:r>
          </w:p>
        </w:tc>
      </w:tr>
      <w:tr w:rsidR="00247B01" w:rsidRPr="00247B01" w14:paraId="0BDB2D24"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707317C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0A635B06"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Suba</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20A7BE3D"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5E39E17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6D8B214A"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$ 5.578.605.000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9014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144</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5C02E22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144</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5A9BD9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144</w:t>
            </w:r>
          </w:p>
        </w:tc>
      </w:tr>
      <w:tr w:rsidR="00247B01" w:rsidRPr="00247B01" w14:paraId="4401FC4A"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725F651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50B6FBBA"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16E3E185"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3F4F61B7"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FDLSUBA CD-445-2022</w:t>
            </w:r>
          </w:p>
        </w:tc>
        <w:tc>
          <w:tcPr>
            <w:tcW w:w="1618" w:type="dxa"/>
            <w:tcBorders>
              <w:top w:val="nil"/>
              <w:left w:val="nil"/>
              <w:bottom w:val="single" w:sz="4" w:space="0" w:color="auto"/>
              <w:right w:val="nil"/>
            </w:tcBorders>
            <w:shd w:val="clear" w:color="auto" w:fill="auto"/>
            <w:noWrap/>
            <w:vAlign w:val="bottom"/>
            <w:hideMark/>
          </w:tcPr>
          <w:p w14:paraId="63647E5F"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$ 7.206.770.633</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2150FB0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165</w:t>
            </w:r>
          </w:p>
        </w:tc>
        <w:tc>
          <w:tcPr>
            <w:tcW w:w="1129" w:type="dxa"/>
            <w:tcBorders>
              <w:top w:val="nil"/>
              <w:left w:val="nil"/>
              <w:bottom w:val="single" w:sz="4" w:space="0" w:color="auto"/>
              <w:right w:val="single" w:sz="8" w:space="0" w:color="auto"/>
            </w:tcBorders>
            <w:shd w:val="clear" w:color="auto" w:fill="auto"/>
            <w:noWrap/>
            <w:vAlign w:val="bottom"/>
            <w:hideMark/>
          </w:tcPr>
          <w:p w14:paraId="3AB9E57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165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08A52ED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165</w:t>
            </w:r>
          </w:p>
        </w:tc>
      </w:tr>
      <w:tr w:rsidR="00247B01" w:rsidRPr="00247B01" w14:paraId="4813890C"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1B38801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6196F10F"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76AAAC3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0C9D4C57"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FDLSUBA CD-506-2023</w:t>
            </w:r>
          </w:p>
        </w:tc>
        <w:tc>
          <w:tcPr>
            <w:tcW w:w="1618" w:type="dxa"/>
            <w:tcBorders>
              <w:top w:val="nil"/>
              <w:left w:val="nil"/>
              <w:bottom w:val="single" w:sz="4" w:space="0" w:color="auto"/>
              <w:right w:val="nil"/>
            </w:tcBorders>
            <w:shd w:val="clear" w:color="auto" w:fill="auto"/>
            <w:noWrap/>
            <w:vAlign w:val="bottom"/>
            <w:hideMark/>
          </w:tcPr>
          <w:p w14:paraId="09866C6B"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$ 11.156.080.180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04F9EAF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240</w:t>
            </w:r>
          </w:p>
        </w:tc>
        <w:tc>
          <w:tcPr>
            <w:tcW w:w="1129" w:type="dxa"/>
            <w:tcBorders>
              <w:top w:val="nil"/>
              <w:left w:val="nil"/>
              <w:bottom w:val="single" w:sz="4" w:space="0" w:color="auto"/>
              <w:right w:val="single" w:sz="8" w:space="0" w:color="auto"/>
            </w:tcBorders>
            <w:shd w:val="clear" w:color="auto" w:fill="auto"/>
            <w:noWrap/>
            <w:vAlign w:val="bottom"/>
            <w:hideMark/>
          </w:tcPr>
          <w:p w14:paraId="02B6B72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240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369D355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240</w:t>
            </w:r>
          </w:p>
        </w:tc>
      </w:tr>
      <w:tr w:rsidR="00247B01" w:rsidRPr="00247B01" w14:paraId="54680E75"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307D5E5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5497EB71"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633039B9"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4C2348B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FDLSUBA-CD-603 2024</w:t>
            </w:r>
          </w:p>
        </w:tc>
        <w:tc>
          <w:tcPr>
            <w:tcW w:w="1618" w:type="dxa"/>
            <w:tcBorders>
              <w:top w:val="nil"/>
              <w:left w:val="nil"/>
              <w:bottom w:val="single" w:sz="4" w:space="0" w:color="auto"/>
              <w:right w:val="nil"/>
            </w:tcBorders>
            <w:shd w:val="clear" w:color="auto" w:fill="auto"/>
            <w:noWrap/>
            <w:vAlign w:val="bottom"/>
            <w:hideMark/>
          </w:tcPr>
          <w:p w14:paraId="00A9A4DF"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$ 12.434.961.177</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0726B35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169</w:t>
            </w:r>
          </w:p>
        </w:tc>
        <w:tc>
          <w:tcPr>
            <w:tcW w:w="1129" w:type="dxa"/>
            <w:tcBorders>
              <w:top w:val="nil"/>
              <w:left w:val="nil"/>
              <w:bottom w:val="single" w:sz="4" w:space="0" w:color="auto"/>
              <w:right w:val="single" w:sz="8" w:space="0" w:color="auto"/>
            </w:tcBorders>
            <w:shd w:val="clear" w:color="auto" w:fill="auto"/>
            <w:noWrap/>
            <w:vAlign w:val="bottom"/>
            <w:hideMark/>
          </w:tcPr>
          <w:p w14:paraId="72B9D5A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169</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5E46925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169</w:t>
            </w:r>
          </w:p>
        </w:tc>
      </w:tr>
      <w:tr w:rsidR="009F1E8B" w:rsidRPr="00247B01" w14:paraId="757534CC"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36FF80F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03032AC6"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2B8C9365"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4AFF5CA4"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4191CCFB"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$ 36.376.416.990</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11718504"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718</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4B089709"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718</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23971108"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718</w:t>
            </w:r>
          </w:p>
        </w:tc>
      </w:tr>
      <w:tr w:rsidR="00247B01" w:rsidRPr="00247B01" w14:paraId="4CD45DC7"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2C776E9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7CDA9A0D"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Barrios Unidos LEP</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954E6F2"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792CC66D"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45C52EBF"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$ 1.746.068.000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F25A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61</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4C73A64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117</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BBF8169"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117</w:t>
            </w:r>
          </w:p>
        </w:tc>
      </w:tr>
      <w:tr w:rsidR="00247B01" w:rsidRPr="00247B01" w14:paraId="7F455F61"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0A1E83D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4FB3D1AD"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407FB12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7DBB7D01"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FDLBU-CD-229-2022</w:t>
            </w:r>
          </w:p>
        </w:tc>
        <w:tc>
          <w:tcPr>
            <w:tcW w:w="1618" w:type="dxa"/>
            <w:tcBorders>
              <w:top w:val="nil"/>
              <w:left w:val="nil"/>
              <w:bottom w:val="single" w:sz="4" w:space="0" w:color="auto"/>
              <w:right w:val="nil"/>
            </w:tcBorders>
            <w:shd w:val="clear" w:color="auto" w:fill="auto"/>
            <w:noWrap/>
            <w:vAlign w:val="bottom"/>
            <w:hideMark/>
          </w:tcPr>
          <w:p w14:paraId="1CB781C8"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$ 2.943.282.756</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6FA973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61</w:t>
            </w:r>
          </w:p>
        </w:tc>
        <w:tc>
          <w:tcPr>
            <w:tcW w:w="1129" w:type="dxa"/>
            <w:tcBorders>
              <w:top w:val="nil"/>
              <w:left w:val="nil"/>
              <w:bottom w:val="single" w:sz="4" w:space="0" w:color="auto"/>
              <w:right w:val="single" w:sz="8" w:space="0" w:color="auto"/>
            </w:tcBorders>
            <w:shd w:val="clear" w:color="auto" w:fill="auto"/>
            <w:noWrap/>
            <w:vAlign w:val="bottom"/>
            <w:hideMark/>
          </w:tcPr>
          <w:p w14:paraId="168816B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215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DDC160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215</w:t>
            </w:r>
          </w:p>
        </w:tc>
      </w:tr>
      <w:tr w:rsidR="00247B01" w:rsidRPr="00247B01" w14:paraId="689FF598"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23691AD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123703F8"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3A00979"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0D9852A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FDLBU-CD-275-2023</w:t>
            </w:r>
          </w:p>
        </w:tc>
        <w:tc>
          <w:tcPr>
            <w:tcW w:w="1618" w:type="dxa"/>
            <w:tcBorders>
              <w:top w:val="nil"/>
              <w:left w:val="nil"/>
              <w:bottom w:val="single" w:sz="4" w:space="0" w:color="auto"/>
              <w:right w:val="nil"/>
            </w:tcBorders>
            <w:shd w:val="clear" w:color="auto" w:fill="auto"/>
            <w:noWrap/>
            <w:vAlign w:val="bottom"/>
            <w:hideMark/>
          </w:tcPr>
          <w:p w14:paraId="27A6C501"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$ 2.992.603.000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3E07B0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60</w:t>
            </w:r>
          </w:p>
        </w:tc>
        <w:tc>
          <w:tcPr>
            <w:tcW w:w="1129" w:type="dxa"/>
            <w:tcBorders>
              <w:top w:val="nil"/>
              <w:left w:val="nil"/>
              <w:bottom w:val="single" w:sz="4" w:space="0" w:color="auto"/>
              <w:right w:val="single" w:sz="8" w:space="0" w:color="auto"/>
            </w:tcBorders>
            <w:shd w:val="clear" w:color="auto" w:fill="auto"/>
            <w:noWrap/>
            <w:vAlign w:val="bottom"/>
            <w:hideMark/>
          </w:tcPr>
          <w:p w14:paraId="15DC6FD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118</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4BB831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118</w:t>
            </w:r>
          </w:p>
        </w:tc>
      </w:tr>
      <w:tr w:rsidR="00247B01" w:rsidRPr="00247B01" w14:paraId="6AA60C82"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5B9DC0E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4DFF35D7"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52C1489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5C0B316E"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xml:space="preserve">FDLBU-CI-312-2024 </w:t>
            </w:r>
          </w:p>
        </w:tc>
        <w:tc>
          <w:tcPr>
            <w:tcW w:w="1618" w:type="dxa"/>
            <w:tcBorders>
              <w:top w:val="nil"/>
              <w:left w:val="nil"/>
              <w:bottom w:val="single" w:sz="4" w:space="0" w:color="auto"/>
              <w:right w:val="nil"/>
            </w:tcBorders>
            <w:shd w:val="clear" w:color="auto" w:fill="auto"/>
            <w:noWrap/>
            <w:vAlign w:val="bottom"/>
            <w:hideMark/>
          </w:tcPr>
          <w:p w14:paraId="347441F9"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$ 3.488.991.000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6B13AE5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15</w:t>
            </w:r>
          </w:p>
        </w:tc>
        <w:tc>
          <w:tcPr>
            <w:tcW w:w="1129" w:type="dxa"/>
            <w:tcBorders>
              <w:top w:val="nil"/>
              <w:left w:val="nil"/>
              <w:bottom w:val="single" w:sz="4" w:space="0" w:color="auto"/>
              <w:right w:val="single" w:sz="8" w:space="0" w:color="auto"/>
            </w:tcBorders>
            <w:shd w:val="clear" w:color="auto" w:fill="auto"/>
            <w:noWrap/>
            <w:vAlign w:val="bottom"/>
            <w:hideMark/>
          </w:tcPr>
          <w:p w14:paraId="6D144B5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187</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3E9B6608"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187</w:t>
            </w:r>
          </w:p>
        </w:tc>
      </w:tr>
      <w:tr w:rsidR="009F1E8B" w:rsidRPr="00247B01" w14:paraId="7B82C9C3"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F3ABBA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0B3CF89E"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3D1A72E1"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3AB60565"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73F9BD7E"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$ 11.170.944.756</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4EE787C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197</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234FD00E"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637</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47ED73D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637</w:t>
            </w:r>
          </w:p>
        </w:tc>
      </w:tr>
      <w:tr w:rsidR="00247B01" w:rsidRPr="00247B01" w14:paraId="30BC12CF"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63832DE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3A85F979"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Teusaquillo LEP</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40C07405"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322FAE39"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6A3B825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$ 1.148.815.333</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4484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77</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2756A61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87</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422F6ED7"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87</w:t>
            </w:r>
          </w:p>
        </w:tc>
      </w:tr>
      <w:tr w:rsidR="00247B01" w:rsidRPr="00247B01" w14:paraId="0E9D70DF"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3A2A6DD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08C46E08"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72BDE0BA"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796325C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FDLT-CIA-222-2022</w:t>
            </w:r>
          </w:p>
        </w:tc>
        <w:tc>
          <w:tcPr>
            <w:tcW w:w="1618" w:type="dxa"/>
            <w:tcBorders>
              <w:top w:val="nil"/>
              <w:left w:val="nil"/>
              <w:bottom w:val="single" w:sz="4" w:space="0" w:color="auto"/>
              <w:right w:val="nil"/>
            </w:tcBorders>
            <w:shd w:val="clear" w:color="auto" w:fill="auto"/>
            <w:noWrap/>
            <w:vAlign w:val="bottom"/>
            <w:hideMark/>
          </w:tcPr>
          <w:p w14:paraId="6BACED7A"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$ 1.240.195.000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641F455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75</w:t>
            </w:r>
          </w:p>
        </w:tc>
        <w:tc>
          <w:tcPr>
            <w:tcW w:w="1129" w:type="dxa"/>
            <w:tcBorders>
              <w:top w:val="nil"/>
              <w:left w:val="nil"/>
              <w:bottom w:val="single" w:sz="4" w:space="0" w:color="auto"/>
              <w:right w:val="single" w:sz="8" w:space="0" w:color="auto"/>
            </w:tcBorders>
            <w:shd w:val="clear" w:color="auto" w:fill="auto"/>
            <w:noWrap/>
            <w:vAlign w:val="bottom"/>
            <w:hideMark/>
          </w:tcPr>
          <w:p w14:paraId="1EB4540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87</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0709661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87</w:t>
            </w:r>
          </w:p>
        </w:tc>
      </w:tr>
      <w:tr w:rsidR="00247B01" w:rsidRPr="00247B01" w14:paraId="4EFECEBC"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48FFD48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198A389C"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6AA7729"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34AA4C77"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FDLT-CDCI-258-2023</w:t>
            </w:r>
          </w:p>
        </w:tc>
        <w:tc>
          <w:tcPr>
            <w:tcW w:w="1618" w:type="dxa"/>
            <w:tcBorders>
              <w:top w:val="nil"/>
              <w:left w:val="nil"/>
              <w:bottom w:val="single" w:sz="4" w:space="0" w:color="auto"/>
              <w:right w:val="nil"/>
            </w:tcBorders>
            <w:shd w:val="clear" w:color="auto" w:fill="auto"/>
            <w:noWrap/>
            <w:vAlign w:val="bottom"/>
            <w:hideMark/>
          </w:tcPr>
          <w:p w14:paraId="044452A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$ 1.654.897.980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C23162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87</w:t>
            </w:r>
          </w:p>
        </w:tc>
        <w:tc>
          <w:tcPr>
            <w:tcW w:w="1129" w:type="dxa"/>
            <w:tcBorders>
              <w:top w:val="nil"/>
              <w:left w:val="nil"/>
              <w:bottom w:val="single" w:sz="4" w:space="0" w:color="auto"/>
              <w:right w:val="single" w:sz="8" w:space="0" w:color="auto"/>
            </w:tcBorders>
            <w:shd w:val="clear" w:color="auto" w:fill="auto"/>
            <w:noWrap/>
            <w:vAlign w:val="bottom"/>
            <w:hideMark/>
          </w:tcPr>
          <w:p w14:paraId="79158EF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87</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B1A676E"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87</w:t>
            </w:r>
          </w:p>
        </w:tc>
      </w:tr>
      <w:tr w:rsidR="00247B01" w:rsidRPr="00247B01" w14:paraId="183DC134"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204DF21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694D367E"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52306D51"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26DEABB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FDLT-CDCIA-293-2024</w:t>
            </w:r>
          </w:p>
        </w:tc>
        <w:tc>
          <w:tcPr>
            <w:tcW w:w="1618" w:type="dxa"/>
            <w:tcBorders>
              <w:top w:val="nil"/>
              <w:left w:val="nil"/>
              <w:bottom w:val="single" w:sz="4" w:space="0" w:color="auto"/>
              <w:right w:val="nil"/>
            </w:tcBorders>
            <w:shd w:val="clear" w:color="auto" w:fill="auto"/>
            <w:noWrap/>
            <w:vAlign w:val="bottom"/>
            <w:hideMark/>
          </w:tcPr>
          <w:p w14:paraId="476D9B63"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$ 1.399.277.720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52EF08F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17</w:t>
            </w:r>
          </w:p>
        </w:tc>
        <w:tc>
          <w:tcPr>
            <w:tcW w:w="1129" w:type="dxa"/>
            <w:tcBorders>
              <w:top w:val="nil"/>
              <w:left w:val="nil"/>
              <w:bottom w:val="single" w:sz="4" w:space="0" w:color="auto"/>
              <w:right w:val="single" w:sz="8" w:space="0" w:color="auto"/>
            </w:tcBorders>
            <w:shd w:val="clear" w:color="auto" w:fill="auto"/>
            <w:noWrap/>
            <w:vAlign w:val="bottom"/>
            <w:hideMark/>
          </w:tcPr>
          <w:p w14:paraId="3738E4E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17</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1CB2F3C0"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17</w:t>
            </w:r>
          </w:p>
        </w:tc>
      </w:tr>
      <w:tr w:rsidR="009F1E8B" w:rsidRPr="00247B01" w14:paraId="588F032D" w14:textId="77777777" w:rsidTr="006C6FA0">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1429A11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1C14ACFE"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03D5F5E"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auto" w:fill="auto"/>
            <w:noWrap/>
            <w:vAlign w:val="center"/>
            <w:hideMark/>
          </w:tcPr>
          <w:p w14:paraId="2D8083D9"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auto" w:fill="auto"/>
            <w:noWrap/>
            <w:vAlign w:val="bottom"/>
            <w:hideMark/>
          </w:tcPr>
          <w:p w14:paraId="364EE87C"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$ 5.443.186.033</w:t>
            </w:r>
          </w:p>
        </w:tc>
        <w:tc>
          <w:tcPr>
            <w:tcW w:w="1041" w:type="dxa"/>
            <w:tcBorders>
              <w:top w:val="single" w:sz="8" w:space="0" w:color="auto"/>
              <w:left w:val="single" w:sz="4" w:space="0" w:color="auto"/>
              <w:bottom w:val="single" w:sz="8" w:space="0" w:color="auto"/>
              <w:right w:val="nil"/>
            </w:tcBorders>
            <w:shd w:val="clear" w:color="auto" w:fill="auto"/>
            <w:noWrap/>
            <w:vAlign w:val="bottom"/>
            <w:hideMark/>
          </w:tcPr>
          <w:p w14:paraId="0C39AFE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256</w:t>
            </w:r>
          </w:p>
        </w:tc>
        <w:tc>
          <w:tcPr>
            <w:tcW w:w="112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1C1EA02B"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278</w:t>
            </w:r>
          </w:p>
        </w:tc>
        <w:tc>
          <w:tcPr>
            <w:tcW w:w="1041"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5DF3444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278</w:t>
            </w:r>
          </w:p>
        </w:tc>
      </w:tr>
      <w:tr w:rsidR="00247B01" w:rsidRPr="00247B01" w14:paraId="79E6EB36" w14:textId="77777777" w:rsidTr="00EB7E39">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0179B5B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BFBFBF" w:themeFill="background1" w:themeFillShade="BF"/>
            <w:noWrap/>
            <w:vAlign w:val="center"/>
            <w:hideMark/>
          </w:tcPr>
          <w:p w14:paraId="353CAAD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Los Mártires LEP</w:t>
            </w:r>
          </w:p>
        </w:tc>
        <w:tc>
          <w:tcPr>
            <w:tcW w:w="96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373860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BFBFBF" w:themeFill="background1" w:themeFillShade="BF"/>
            <w:noWrap/>
            <w:vAlign w:val="center"/>
            <w:hideMark/>
          </w:tcPr>
          <w:p w14:paraId="31EA74AE"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BFBFBF" w:themeFill="background1" w:themeFillShade="BF"/>
            <w:noWrap/>
            <w:vAlign w:val="bottom"/>
            <w:hideMark/>
          </w:tcPr>
          <w:p w14:paraId="0A8B1241"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$ 1.119.049.419</w:t>
            </w:r>
          </w:p>
        </w:tc>
        <w:tc>
          <w:tcPr>
            <w:tcW w:w="104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1447EF5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20</w:t>
            </w:r>
          </w:p>
        </w:tc>
        <w:tc>
          <w:tcPr>
            <w:tcW w:w="1129" w:type="dxa"/>
            <w:tcBorders>
              <w:top w:val="single" w:sz="4" w:space="0" w:color="auto"/>
              <w:left w:val="nil"/>
              <w:bottom w:val="single" w:sz="4" w:space="0" w:color="auto"/>
              <w:right w:val="single" w:sz="8" w:space="0" w:color="auto"/>
            </w:tcBorders>
            <w:shd w:val="clear" w:color="auto" w:fill="BFBFBF" w:themeFill="background1" w:themeFillShade="BF"/>
            <w:noWrap/>
            <w:vAlign w:val="bottom"/>
            <w:hideMark/>
          </w:tcPr>
          <w:p w14:paraId="26B52755"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85</w:t>
            </w:r>
          </w:p>
        </w:tc>
        <w:tc>
          <w:tcPr>
            <w:tcW w:w="1041" w:type="dxa"/>
            <w:tcBorders>
              <w:top w:val="single" w:sz="4" w:space="0" w:color="auto"/>
              <w:left w:val="single" w:sz="4" w:space="0" w:color="auto"/>
              <w:bottom w:val="single" w:sz="4" w:space="0" w:color="auto"/>
              <w:right w:val="single" w:sz="8" w:space="0" w:color="auto"/>
            </w:tcBorders>
            <w:shd w:val="clear" w:color="auto" w:fill="BFBFBF" w:themeFill="background1" w:themeFillShade="BF"/>
            <w:noWrap/>
            <w:vAlign w:val="bottom"/>
            <w:hideMark/>
          </w:tcPr>
          <w:p w14:paraId="0EB2BC1A"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85</w:t>
            </w:r>
          </w:p>
        </w:tc>
      </w:tr>
      <w:tr w:rsidR="00247B01" w:rsidRPr="00247B01" w14:paraId="3FCB8536" w14:textId="77777777" w:rsidTr="00EB7E39">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2ADA788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shd w:val="clear" w:color="auto" w:fill="BFBFBF" w:themeFill="background1" w:themeFillShade="BF"/>
            <w:vAlign w:val="center"/>
            <w:hideMark/>
          </w:tcPr>
          <w:p w14:paraId="1A4F4524"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E1C24F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BFBFBF" w:themeFill="background1" w:themeFillShade="BF"/>
            <w:noWrap/>
            <w:vAlign w:val="center"/>
            <w:hideMark/>
          </w:tcPr>
          <w:p w14:paraId="48C3A62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FDLM-CD-125-2022</w:t>
            </w:r>
          </w:p>
        </w:tc>
        <w:tc>
          <w:tcPr>
            <w:tcW w:w="1618" w:type="dxa"/>
            <w:tcBorders>
              <w:top w:val="nil"/>
              <w:left w:val="nil"/>
              <w:bottom w:val="single" w:sz="4" w:space="0" w:color="auto"/>
              <w:right w:val="nil"/>
            </w:tcBorders>
            <w:shd w:val="clear" w:color="auto" w:fill="BFBFBF" w:themeFill="background1" w:themeFillShade="BF"/>
            <w:noWrap/>
            <w:vAlign w:val="bottom"/>
            <w:hideMark/>
          </w:tcPr>
          <w:p w14:paraId="14C9C81D"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$ 1.320.513.000</w:t>
            </w:r>
          </w:p>
        </w:tc>
        <w:tc>
          <w:tcPr>
            <w:tcW w:w="104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1C0EBEE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20</w:t>
            </w:r>
          </w:p>
        </w:tc>
        <w:tc>
          <w:tcPr>
            <w:tcW w:w="1129" w:type="dxa"/>
            <w:tcBorders>
              <w:top w:val="nil"/>
              <w:left w:val="nil"/>
              <w:bottom w:val="single" w:sz="4" w:space="0" w:color="auto"/>
              <w:right w:val="single" w:sz="8" w:space="0" w:color="auto"/>
            </w:tcBorders>
            <w:shd w:val="clear" w:color="auto" w:fill="BFBFBF" w:themeFill="background1" w:themeFillShade="BF"/>
            <w:noWrap/>
            <w:vAlign w:val="bottom"/>
            <w:hideMark/>
          </w:tcPr>
          <w:p w14:paraId="7CBD760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87</w:t>
            </w:r>
          </w:p>
        </w:tc>
        <w:tc>
          <w:tcPr>
            <w:tcW w:w="1041" w:type="dxa"/>
            <w:tcBorders>
              <w:top w:val="nil"/>
              <w:left w:val="single" w:sz="4" w:space="0" w:color="auto"/>
              <w:bottom w:val="single" w:sz="4" w:space="0" w:color="auto"/>
              <w:right w:val="single" w:sz="8" w:space="0" w:color="auto"/>
            </w:tcBorders>
            <w:shd w:val="clear" w:color="auto" w:fill="BFBFBF" w:themeFill="background1" w:themeFillShade="BF"/>
            <w:noWrap/>
            <w:vAlign w:val="bottom"/>
            <w:hideMark/>
          </w:tcPr>
          <w:p w14:paraId="0B65146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87</w:t>
            </w:r>
          </w:p>
        </w:tc>
      </w:tr>
      <w:tr w:rsidR="00247B01" w:rsidRPr="00247B01" w14:paraId="5022B0F6" w14:textId="77777777" w:rsidTr="00EB7E39">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7DC2366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shd w:val="clear" w:color="auto" w:fill="BFBFBF" w:themeFill="background1" w:themeFillShade="BF"/>
            <w:vAlign w:val="center"/>
            <w:hideMark/>
          </w:tcPr>
          <w:p w14:paraId="1EAD8900"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026D836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BFBFBF" w:themeFill="background1" w:themeFillShade="BF"/>
            <w:noWrap/>
            <w:vAlign w:val="center"/>
            <w:hideMark/>
          </w:tcPr>
          <w:p w14:paraId="3E575F1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FDLM-CD-134-2023</w:t>
            </w:r>
          </w:p>
        </w:tc>
        <w:tc>
          <w:tcPr>
            <w:tcW w:w="1618" w:type="dxa"/>
            <w:tcBorders>
              <w:top w:val="nil"/>
              <w:left w:val="nil"/>
              <w:bottom w:val="single" w:sz="4" w:space="0" w:color="auto"/>
              <w:right w:val="nil"/>
            </w:tcBorders>
            <w:shd w:val="clear" w:color="auto" w:fill="BFBFBF" w:themeFill="background1" w:themeFillShade="BF"/>
            <w:noWrap/>
            <w:vAlign w:val="bottom"/>
            <w:hideMark/>
          </w:tcPr>
          <w:p w14:paraId="38E89AB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$ 1.400.000.000</w:t>
            </w:r>
          </w:p>
        </w:tc>
        <w:tc>
          <w:tcPr>
            <w:tcW w:w="104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E83BA9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20</w:t>
            </w:r>
          </w:p>
        </w:tc>
        <w:tc>
          <w:tcPr>
            <w:tcW w:w="1129" w:type="dxa"/>
            <w:tcBorders>
              <w:top w:val="nil"/>
              <w:left w:val="nil"/>
              <w:bottom w:val="single" w:sz="4" w:space="0" w:color="auto"/>
              <w:right w:val="single" w:sz="8" w:space="0" w:color="auto"/>
            </w:tcBorders>
            <w:shd w:val="clear" w:color="auto" w:fill="BFBFBF" w:themeFill="background1" w:themeFillShade="BF"/>
            <w:noWrap/>
            <w:vAlign w:val="bottom"/>
            <w:hideMark/>
          </w:tcPr>
          <w:p w14:paraId="2E9A0C7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85</w:t>
            </w:r>
          </w:p>
        </w:tc>
        <w:tc>
          <w:tcPr>
            <w:tcW w:w="1041" w:type="dxa"/>
            <w:tcBorders>
              <w:top w:val="nil"/>
              <w:left w:val="single" w:sz="4" w:space="0" w:color="auto"/>
              <w:bottom w:val="single" w:sz="4" w:space="0" w:color="auto"/>
              <w:right w:val="single" w:sz="8" w:space="0" w:color="auto"/>
            </w:tcBorders>
            <w:shd w:val="clear" w:color="auto" w:fill="BFBFBF" w:themeFill="background1" w:themeFillShade="BF"/>
            <w:noWrap/>
            <w:vAlign w:val="bottom"/>
            <w:hideMark/>
          </w:tcPr>
          <w:p w14:paraId="66DD3AB9"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85</w:t>
            </w:r>
          </w:p>
        </w:tc>
      </w:tr>
      <w:tr w:rsidR="00247B01" w:rsidRPr="00247B01" w14:paraId="33100B20" w14:textId="77777777" w:rsidTr="00EB7E39">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5DEB9A7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shd w:val="clear" w:color="auto" w:fill="BFBFBF" w:themeFill="background1" w:themeFillShade="BF"/>
            <w:vAlign w:val="center"/>
            <w:hideMark/>
          </w:tcPr>
          <w:p w14:paraId="3291C3EA"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BFBFBF" w:themeFill="background1" w:themeFillShade="BF"/>
            <w:noWrap/>
            <w:vAlign w:val="center"/>
            <w:hideMark/>
          </w:tcPr>
          <w:p w14:paraId="1D15A51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BFBFBF" w:themeFill="background1" w:themeFillShade="BF"/>
            <w:noWrap/>
            <w:vAlign w:val="center"/>
            <w:hideMark/>
          </w:tcPr>
          <w:p w14:paraId="626AA52A"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FDLM-188-2024 (118145)</w:t>
            </w:r>
          </w:p>
        </w:tc>
        <w:tc>
          <w:tcPr>
            <w:tcW w:w="1618" w:type="dxa"/>
            <w:tcBorders>
              <w:top w:val="nil"/>
              <w:left w:val="nil"/>
              <w:bottom w:val="single" w:sz="4" w:space="0" w:color="auto"/>
              <w:right w:val="nil"/>
            </w:tcBorders>
            <w:shd w:val="clear" w:color="auto" w:fill="BFBFBF" w:themeFill="background1" w:themeFillShade="BF"/>
            <w:noWrap/>
            <w:vAlign w:val="bottom"/>
            <w:hideMark/>
          </w:tcPr>
          <w:p w14:paraId="304F1F3D"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$ 1.422.000.000</w:t>
            </w:r>
          </w:p>
        </w:tc>
        <w:tc>
          <w:tcPr>
            <w:tcW w:w="104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666E3EF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15</w:t>
            </w:r>
          </w:p>
        </w:tc>
        <w:tc>
          <w:tcPr>
            <w:tcW w:w="1129" w:type="dxa"/>
            <w:tcBorders>
              <w:top w:val="nil"/>
              <w:left w:val="nil"/>
              <w:bottom w:val="single" w:sz="4" w:space="0" w:color="auto"/>
              <w:right w:val="single" w:sz="8" w:space="0" w:color="auto"/>
            </w:tcBorders>
            <w:shd w:val="clear" w:color="auto" w:fill="BFBFBF" w:themeFill="background1" w:themeFillShade="BF"/>
            <w:noWrap/>
            <w:vAlign w:val="bottom"/>
            <w:hideMark/>
          </w:tcPr>
          <w:p w14:paraId="2E72D22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92</w:t>
            </w:r>
          </w:p>
        </w:tc>
        <w:tc>
          <w:tcPr>
            <w:tcW w:w="1041" w:type="dxa"/>
            <w:tcBorders>
              <w:top w:val="nil"/>
              <w:left w:val="single" w:sz="4" w:space="0" w:color="auto"/>
              <w:bottom w:val="single" w:sz="4" w:space="0" w:color="auto"/>
              <w:right w:val="single" w:sz="8" w:space="0" w:color="auto"/>
            </w:tcBorders>
            <w:shd w:val="clear" w:color="auto" w:fill="BFBFBF" w:themeFill="background1" w:themeFillShade="BF"/>
            <w:noWrap/>
            <w:vAlign w:val="bottom"/>
            <w:hideMark/>
          </w:tcPr>
          <w:p w14:paraId="05F56AD4"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92</w:t>
            </w:r>
          </w:p>
        </w:tc>
      </w:tr>
      <w:tr w:rsidR="009F1E8B" w:rsidRPr="00247B01" w14:paraId="6231858E" w14:textId="77777777" w:rsidTr="00EB7E39">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987A8B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shd w:val="clear" w:color="auto" w:fill="BFBFBF" w:themeFill="background1" w:themeFillShade="BF"/>
            <w:vAlign w:val="center"/>
            <w:hideMark/>
          </w:tcPr>
          <w:p w14:paraId="34611388"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auto" w:fill="D6E3BC" w:themeFill="accent3" w:themeFillTint="66"/>
            <w:noWrap/>
            <w:vAlign w:val="center"/>
            <w:hideMark/>
          </w:tcPr>
          <w:p w14:paraId="0B371D1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auto" w:fill="D6E3BC" w:themeFill="accent3" w:themeFillTint="66"/>
            <w:noWrap/>
            <w:vAlign w:val="center"/>
            <w:hideMark/>
          </w:tcPr>
          <w:p w14:paraId="5C63457B"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auto" w:fill="D6E3BC" w:themeFill="accent3" w:themeFillTint="66"/>
            <w:noWrap/>
            <w:vAlign w:val="bottom"/>
            <w:hideMark/>
          </w:tcPr>
          <w:p w14:paraId="676D68E1"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$ 5.261.562.419</w:t>
            </w:r>
          </w:p>
        </w:tc>
        <w:tc>
          <w:tcPr>
            <w:tcW w:w="1041" w:type="dxa"/>
            <w:tcBorders>
              <w:top w:val="single" w:sz="8" w:space="0" w:color="auto"/>
              <w:left w:val="single" w:sz="4" w:space="0" w:color="auto"/>
              <w:bottom w:val="single" w:sz="8" w:space="0" w:color="auto"/>
              <w:right w:val="nil"/>
            </w:tcBorders>
            <w:shd w:val="clear" w:color="auto" w:fill="D6E3BC" w:themeFill="accent3" w:themeFillTint="66"/>
            <w:noWrap/>
            <w:vAlign w:val="bottom"/>
            <w:hideMark/>
          </w:tcPr>
          <w:p w14:paraId="6B5D80D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75</w:t>
            </w:r>
          </w:p>
        </w:tc>
        <w:tc>
          <w:tcPr>
            <w:tcW w:w="1129" w:type="dxa"/>
            <w:tcBorders>
              <w:top w:val="single" w:sz="8" w:space="0" w:color="auto"/>
              <w:left w:val="single" w:sz="4" w:space="0" w:color="auto"/>
              <w:bottom w:val="single" w:sz="8" w:space="0" w:color="auto"/>
              <w:right w:val="single" w:sz="8" w:space="0" w:color="auto"/>
            </w:tcBorders>
            <w:shd w:val="clear" w:color="auto" w:fill="D6E3BC" w:themeFill="accent3" w:themeFillTint="66"/>
            <w:noWrap/>
            <w:vAlign w:val="bottom"/>
            <w:hideMark/>
          </w:tcPr>
          <w:p w14:paraId="7D2490AB"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349</w:t>
            </w:r>
          </w:p>
        </w:tc>
        <w:tc>
          <w:tcPr>
            <w:tcW w:w="1041" w:type="dxa"/>
            <w:tcBorders>
              <w:top w:val="single" w:sz="8" w:space="0" w:color="auto"/>
              <w:left w:val="single" w:sz="4" w:space="0" w:color="auto"/>
              <w:bottom w:val="single" w:sz="8" w:space="0" w:color="auto"/>
              <w:right w:val="single" w:sz="8" w:space="0" w:color="auto"/>
            </w:tcBorders>
            <w:shd w:val="clear" w:color="auto" w:fill="D6E3BC" w:themeFill="accent3" w:themeFillTint="66"/>
            <w:noWrap/>
            <w:vAlign w:val="bottom"/>
            <w:hideMark/>
          </w:tcPr>
          <w:p w14:paraId="7ECEE4EE"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349</w:t>
            </w:r>
          </w:p>
        </w:tc>
      </w:tr>
      <w:tr w:rsidR="00247B01" w:rsidRPr="00247B01" w14:paraId="00532C05"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20DD859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6D5B7029"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xml:space="preserve">Antonio Nariño </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7EAC177"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340CD3B7"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6B22D304"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$ 1.292.898.200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641D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23</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35193CB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0</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43AD6E7"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23</w:t>
            </w:r>
          </w:p>
        </w:tc>
      </w:tr>
      <w:tr w:rsidR="00247B01" w:rsidRPr="00247B01" w14:paraId="272DAFDA"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11CC75F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6BD63668"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13F22C66"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4C9E116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FDLAN-CIA-002-2022</w:t>
            </w:r>
          </w:p>
        </w:tc>
        <w:tc>
          <w:tcPr>
            <w:tcW w:w="1618" w:type="dxa"/>
            <w:tcBorders>
              <w:top w:val="nil"/>
              <w:left w:val="nil"/>
              <w:bottom w:val="single" w:sz="4" w:space="0" w:color="auto"/>
              <w:right w:val="nil"/>
            </w:tcBorders>
            <w:shd w:val="clear" w:color="auto" w:fill="auto"/>
            <w:noWrap/>
            <w:vAlign w:val="bottom"/>
            <w:hideMark/>
          </w:tcPr>
          <w:p w14:paraId="670EA024"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$ 1.286.932.000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37226B5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23</w:t>
            </w:r>
          </w:p>
        </w:tc>
        <w:tc>
          <w:tcPr>
            <w:tcW w:w="1129" w:type="dxa"/>
            <w:tcBorders>
              <w:top w:val="nil"/>
              <w:left w:val="nil"/>
              <w:bottom w:val="single" w:sz="4" w:space="0" w:color="auto"/>
              <w:right w:val="single" w:sz="8" w:space="0" w:color="auto"/>
            </w:tcBorders>
            <w:shd w:val="clear" w:color="auto" w:fill="auto"/>
            <w:noWrap/>
            <w:vAlign w:val="bottom"/>
            <w:hideMark/>
          </w:tcPr>
          <w:p w14:paraId="3E7D599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69E23C3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23</w:t>
            </w:r>
          </w:p>
        </w:tc>
      </w:tr>
      <w:tr w:rsidR="00247B01" w:rsidRPr="00247B01" w14:paraId="4AC434C2"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1EC000C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46EBCB08"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5ED8D6D5"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3FB69CEB"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FDLAN-CIA-002-2023</w:t>
            </w:r>
          </w:p>
        </w:tc>
        <w:tc>
          <w:tcPr>
            <w:tcW w:w="1618" w:type="dxa"/>
            <w:tcBorders>
              <w:top w:val="nil"/>
              <w:left w:val="nil"/>
              <w:bottom w:val="single" w:sz="4" w:space="0" w:color="auto"/>
              <w:right w:val="nil"/>
            </w:tcBorders>
            <w:shd w:val="clear" w:color="auto" w:fill="auto"/>
            <w:noWrap/>
            <w:vAlign w:val="bottom"/>
            <w:hideMark/>
          </w:tcPr>
          <w:p w14:paraId="5BAEC0A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$ 1.280.661.084</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5A21CC5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23</w:t>
            </w:r>
          </w:p>
        </w:tc>
        <w:tc>
          <w:tcPr>
            <w:tcW w:w="1129" w:type="dxa"/>
            <w:tcBorders>
              <w:top w:val="nil"/>
              <w:left w:val="nil"/>
              <w:bottom w:val="single" w:sz="4" w:space="0" w:color="auto"/>
              <w:right w:val="single" w:sz="8" w:space="0" w:color="auto"/>
            </w:tcBorders>
            <w:shd w:val="clear" w:color="auto" w:fill="auto"/>
            <w:noWrap/>
            <w:vAlign w:val="bottom"/>
            <w:hideMark/>
          </w:tcPr>
          <w:p w14:paraId="5DA9013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37A186F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23</w:t>
            </w:r>
          </w:p>
        </w:tc>
      </w:tr>
      <w:tr w:rsidR="00247B01" w:rsidRPr="00247B01" w14:paraId="41EFB471"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6428CDB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0C67E9A1"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097A6F4D"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single" w:sz="4" w:space="0" w:color="auto"/>
              <w:right w:val="single" w:sz="4" w:space="0" w:color="auto"/>
            </w:tcBorders>
            <w:shd w:val="clear" w:color="auto" w:fill="auto"/>
            <w:noWrap/>
            <w:vAlign w:val="center"/>
            <w:hideMark/>
          </w:tcPr>
          <w:p w14:paraId="390C9E16"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FDLAN-CIA-001-2024</w:t>
            </w:r>
          </w:p>
        </w:tc>
        <w:tc>
          <w:tcPr>
            <w:tcW w:w="1618" w:type="dxa"/>
            <w:tcBorders>
              <w:top w:val="nil"/>
              <w:left w:val="nil"/>
              <w:bottom w:val="single" w:sz="4" w:space="0" w:color="auto"/>
              <w:right w:val="nil"/>
            </w:tcBorders>
            <w:shd w:val="clear" w:color="auto" w:fill="auto"/>
            <w:noWrap/>
            <w:vAlign w:val="bottom"/>
            <w:hideMark/>
          </w:tcPr>
          <w:p w14:paraId="341985EA"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$ 1.300.000.000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5233264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23</w:t>
            </w:r>
          </w:p>
        </w:tc>
        <w:tc>
          <w:tcPr>
            <w:tcW w:w="1129" w:type="dxa"/>
            <w:tcBorders>
              <w:top w:val="nil"/>
              <w:left w:val="nil"/>
              <w:bottom w:val="single" w:sz="4" w:space="0" w:color="auto"/>
              <w:right w:val="single" w:sz="8" w:space="0" w:color="auto"/>
            </w:tcBorders>
            <w:shd w:val="clear" w:color="auto" w:fill="auto"/>
            <w:noWrap/>
            <w:vAlign w:val="bottom"/>
            <w:hideMark/>
          </w:tcPr>
          <w:p w14:paraId="0F4FEAC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07ED9EBF"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23</w:t>
            </w:r>
          </w:p>
        </w:tc>
      </w:tr>
      <w:tr w:rsidR="009F1E8B" w:rsidRPr="00247B01" w14:paraId="3E85B08A"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23EA2F9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6A3073D8"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5FD903F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2379835B"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07B0FA20"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$ 5.160.491.284</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2B785CB7"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92</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4389B01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14348958"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92</w:t>
            </w:r>
          </w:p>
        </w:tc>
      </w:tr>
      <w:tr w:rsidR="00247B01" w:rsidRPr="00247B01" w14:paraId="268587B0"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29D2611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06E4A49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Puente Aranda LEP</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0C8A6BB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35538D9F"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616CD870"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$ 1.613.542.176</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B82C1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5F7F207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375</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B0CD649"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375</w:t>
            </w:r>
          </w:p>
        </w:tc>
      </w:tr>
      <w:tr w:rsidR="00247B01" w:rsidRPr="00247B01" w14:paraId="31105843"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6BB3244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5282D017"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7F75F392"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6B0E137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FDLPA-CIA-177-2022</w:t>
            </w:r>
          </w:p>
        </w:tc>
        <w:tc>
          <w:tcPr>
            <w:tcW w:w="1618" w:type="dxa"/>
            <w:tcBorders>
              <w:top w:val="nil"/>
              <w:left w:val="nil"/>
              <w:bottom w:val="single" w:sz="4" w:space="0" w:color="auto"/>
              <w:right w:val="nil"/>
            </w:tcBorders>
            <w:shd w:val="clear" w:color="auto" w:fill="auto"/>
            <w:noWrap/>
            <w:vAlign w:val="bottom"/>
            <w:hideMark/>
          </w:tcPr>
          <w:p w14:paraId="160E682C"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$ 1.813.200.000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1BF17A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129" w:type="dxa"/>
            <w:tcBorders>
              <w:top w:val="nil"/>
              <w:left w:val="nil"/>
              <w:bottom w:val="single" w:sz="4" w:space="0" w:color="auto"/>
              <w:right w:val="single" w:sz="8" w:space="0" w:color="auto"/>
            </w:tcBorders>
            <w:shd w:val="clear" w:color="auto" w:fill="auto"/>
            <w:noWrap/>
            <w:vAlign w:val="bottom"/>
            <w:hideMark/>
          </w:tcPr>
          <w:p w14:paraId="5AFB604C"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375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8AA1C6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375</w:t>
            </w:r>
          </w:p>
        </w:tc>
      </w:tr>
      <w:tr w:rsidR="00247B01" w:rsidRPr="00247B01" w14:paraId="60D6A9EB"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5B16C8B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141E4403"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823D76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420C03C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FDLPA-CIA-006-2023</w:t>
            </w:r>
          </w:p>
        </w:tc>
        <w:tc>
          <w:tcPr>
            <w:tcW w:w="1618" w:type="dxa"/>
            <w:tcBorders>
              <w:top w:val="nil"/>
              <w:left w:val="nil"/>
              <w:bottom w:val="single" w:sz="4" w:space="0" w:color="auto"/>
              <w:right w:val="nil"/>
            </w:tcBorders>
            <w:shd w:val="clear" w:color="auto" w:fill="auto"/>
            <w:noWrap/>
            <w:vAlign w:val="bottom"/>
            <w:hideMark/>
          </w:tcPr>
          <w:p w14:paraId="61F9D650"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$ 1.865.108.401</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89F9FE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129" w:type="dxa"/>
            <w:tcBorders>
              <w:top w:val="nil"/>
              <w:left w:val="nil"/>
              <w:bottom w:val="single" w:sz="4" w:space="0" w:color="auto"/>
              <w:right w:val="single" w:sz="8" w:space="0" w:color="auto"/>
            </w:tcBorders>
            <w:shd w:val="clear" w:color="auto" w:fill="auto"/>
            <w:noWrap/>
            <w:vAlign w:val="bottom"/>
            <w:hideMark/>
          </w:tcPr>
          <w:p w14:paraId="2EC6C095"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375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19D6CF2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375</w:t>
            </w:r>
          </w:p>
        </w:tc>
      </w:tr>
      <w:tr w:rsidR="00247B01" w:rsidRPr="00247B01" w14:paraId="0BC6B1CC"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26417B8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392CDE1C"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09519983"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1A7AF90E"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xml:space="preserve"> FDLPA-CIA-014-2024</w:t>
            </w:r>
          </w:p>
        </w:tc>
        <w:tc>
          <w:tcPr>
            <w:tcW w:w="1618" w:type="dxa"/>
            <w:tcBorders>
              <w:top w:val="nil"/>
              <w:left w:val="nil"/>
              <w:bottom w:val="single" w:sz="4" w:space="0" w:color="auto"/>
              <w:right w:val="nil"/>
            </w:tcBorders>
            <w:shd w:val="clear" w:color="auto" w:fill="auto"/>
            <w:noWrap/>
            <w:vAlign w:val="bottom"/>
            <w:hideMark/>
          </w:tcPr>
          <w:p w14:paraId="7AB145FB"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$ 2.458.560.000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7DD69B5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45</w:t>
            </w:r>
          </w:p>
        </w:tc>
        <w:tc>
          <w:tcPr>
            <w:tcW w:w="1129" w:type="dxa"/>
            <w:tcBorders>
              <w:top w:val="nil"/>
              <w:left w:val="nil"/>
              <w:bottom w:val="single" w:sz="4" w:space="0" w:color="auto"/>
              <w:right w:val="single" w:sz="8" w:space="0" w:color="auto"/>
            </w:tcBorders>
            <w:shd w:val="clear" w:color="auto" w:fill="auto"/>
            <w:noWrap/>
            <w:vAlign w:val="bottom"/>
            <w:hideMark/>
          </w:tcPr>
          <w:p w14:paraId="2D12BE9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375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3255F52"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375</w:t>
            </w:r>
          </w:p>
        </w:tc>
      </w:tr>
      <w:tr w:rsidR="009F1E8B" w:rsidRPr="00247B01" w14:paraId="17331FE9"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09F8CE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63ECDFFE"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1159F2F6"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42CA791F"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6C95651D"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$ 7.750.410.577</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3A54F4F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180</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68472D4E"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1500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0DA1E74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1500</w:t>
            </w:r>
          </w:p>
        </w:tc>
      </w:tr>
      <w:tr w:rsidR="00247B01" w:rsidRPr="00247B01" w14:paraId="186D4EA2"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1F5BE43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234E0EA2"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La Candelaria</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049426B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429EB18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5D0D102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$ 829.911.000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0D9D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4222FA9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2F4E7C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14</w:t>
            </w:r>
          </w:p>
        </w:tc>
      </w:tr>
      <w:tr w:rsidR="00247B01" w:rsidRPr="00247B01" w14:paraId="08856890"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346E684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lastRenderedPageBreak/>
              <w:t>2</w:t>
            </w:r>
          </w:p>
        </w:tc>
        <w:tc>
          <w:tcPr>
            <w:tcW w:w="1282" w:type="dxa"/>
            <w:vMerge/>
            <w:tcBorders>
              <w:top w:val="nil"/>
              <w:left w:val="single" w:sz="4" w:space="0" w:color="auto"/>
              <w:bottom w:val="single" w:sz="8" w:space="0" w:color="000000"/>
              <w:right w:val="nil"/>
            </w:tcBorders>
            <w:vAlign w:val="center"/>
            <w:hideMark/>
          </w:tcPr>
          <w:p w14:paraId="0AA44ECF"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5C6FFFD6"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4FB6AE20"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FDLC-161-2022</w:t>
            </w:r>
          </w:p>
        </w:tc>
        <w:tc>
          <w:tcPr>
            <w:tcW w:w="1618" w:type="dxa"/>
            <w:tcBorders>
              <w:top w:val="nil"/>
              <w:left w:val="nil"/>
              <w:bottom w:val="single" w:sz="4" w:space="0" w:color="auto"/>
              <w:right w:val="nil"/>
            </w:tcBorders>
            <w:shd w:val="clear" w:color="auto" w:fill="auto"/>
            <w:noWrap/>
            <w:vAlign w:val="bottom"/>
            <w:hideMark/>
          </w:tcPr>
          <w:p w14:paraId="2E42E55B"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$ 1.077.935.000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5765A4D5"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w:t>
            </w:r>
          </w:p>
        </w:tc>
        <w:tc>
          <w:tcPr>
            <w:tcW w:w="1129" w:type="dxa"/>
            <w:tcBorders>
              <w:top w:val="nil"/>
              <w:left w:val="nil"/>
              <w:bottom w:val="single" w:sz="4" w:space="0" w:color="auto"/>
              <w:right w:val="single" w:sz="8" w:space="0" w:color="auto"/>
            </w:tcBorders>
            <w:shd w:val="clear" w:color="auto" w:fill="auto"/>
            <w:noWrap/>
            <w:vAlign w:val="bottom"/>
            <w:hideMark/>
          </w:tcPr>
          <w:p w14:paraId="717151D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235ED7B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14</w:t>
            </w:r>
          </w:p>
        </w:tc>
      </w:tr>
      <w:tr w:rsidR="00247B01" w:rsidRPr="00247B01" w14:paraId="26B18FD2"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010905D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52313B41"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45BB1105"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3488BB0B"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FDLC-178-2023</w:t>
            </w:r>
          </w:p>
        </w:tc>
        <w:tc>
          <w:tcPr>
            <w:tcW w:w="1618" w:type="dxa"/>
            <w:tcBorders>
              <w:top w:val="nil"/>
              <w:left w:val="nil"/>
              <w:bottom w:val="single" w:sz="4" w:space="0" w:color="auto"/>
              <w:right w:val="nil"/>
            </w:tcBorders>
            <w:shd w:val="clear" w:color="auto" w:fill="auto"/>
            <w:noWrap/>
            <w:vAlign w:val="bottom"/>
            <w:hideMark/>
          </w:tcPr>
          <w:p w14:paraId="7C7C60BF"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$ 1.013.000.000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A9871B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w:t>
            </w:r>
          </w:p>
        </w:tc>
        <w:tc>
          <w:tcPr>
            <w:tcW w:w="1129" w:type="dxa"/>
            <w:tcBorders>
              <w:top w:val="nil"/>
              <w:left w:val="nil"/>
              <w:bottom w:val="single" w:sz="4" w:space="0" w:color="auto"/>
              <w:right w:val="single" w:sz="8" w:space="0" w:color="auto"/>
            </w:tcBorders>
            <w:shd w:val="clear" w:color="auto" w:fill="auto"/>
            <w:noWrap/>
            <w:vAlign w:val="bottom"/>
            <w:hideMark/>
          </w:tcPr>
          <w:p w14:paraId="554FCD9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718F6F6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14</w:t>
            </w:r>
          </w:p>
        </w:tc>
      </w:tr>
      <w:tr w:rsidR="00247B01" w:rsidRPr="00247B01" w14:paraId="79CB2B3E"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04E7373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353D2CB7"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06E94120"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single" w:sz="4" w:space="0" w:color="auto"/>
              <w:right w:val="single" w:sz="4" w:space="0" w:color="auto"/>
            </w:tcBorders>
            <w:shd w:val="clear" w:color="auto" w:fill="auto"/>
            <w:noWrap/>
            <w:vAlign w:val="center"/>
            <w:hideMark/>
          </w:tcPr>
          <w:p w14:paraId="3D74178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FDLC-291-2024</w:t>
            </w:r>
          </w:p>
        </w:tc>
        <w:tc>
          <w:tcPr>
            <w:tcW w:w="1618" w:type="dxa"/>
            <w:tcBorders>
              <w:top w:val="nil"/>
              <w:left w:val="nil"/>
              <w:bottom w:val="single" w:sz="4" w:space="0" w:color="auto"/>
              <w:right w:val="nil"/>
            </w:tcBorders>
            <w:shd w:val="clear" w:color="auto" w:fill="auto"/>
            <w:noWrap/>
            <w:vAlign w:val="bottom"/>
            <w:hideMark/>
          </w:tcPr>
          <w:p w14:paraId="29B78B02"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$ 1.255.000.000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015C93F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w:t>
            </w:r>
          </w:p>
        </w:tc>
        <w:tc>
          <w:tcPr>
            <w:tcW w:w="1129" w:type="dxa"/>
            <w:tcBorders>
              <w:top w:val="nil"/>
              <w:left w:val="nil"/>
              <w:bottom w:val="single" w:sz="4" w:space="0" w:color="auto"/>
              <w:right w:val="single" w:sz="8" w:space="0" w:color="auto"/>
            </w:tcBorders>
            <w:shd w:val="clear" w:color="auto" w:fill="auto"/>
            <w:noWrap/>
            <w:vAlign w:val="bottom"/>
            <w:hideMark/>
          </w:tcPr>
          <w:p w14:paraId="57A4FBB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14</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6F5A646A"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14</w:t>
            </w:r>
          </w:p>
        </w:tc>
      </w:tr>
      <w:tr w:rsidR="009F1E8B" w:rsidRPr="00247B01" w14:paraId="663BB5E0"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246E9B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75815650"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7DD941C8"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12BD9D34"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0F449DFF"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$ 4.175.846.000</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566E0BC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56</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56C626A8"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56</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0AC5EDA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56</w:t>
            </w:r>
          </w:p>
        </w:tc>
      </w:tr>
      <w:tr w:rsidR="00247B01" w:rsidRPr="00247B01" w14:paraId="0DA91C14"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1BBD3CC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45D14F12"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Rafael Uribe Uribe</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09D348E6"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09A04D7D"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65C9752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$ 2.531.277.000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00A3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75</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22B5EBC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75</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8220F1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75</w:t>
            </w:r>
          </w:p>
        </w:tc>
      </w:tr>
      <w:tr w:rsidR="00247B01" w:rsidRPr="00247B01" w14:paraId="720968FD"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2BA6EC6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3DC71929"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1A1CFE28"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654F0A36"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FDLRUU-CD-307-2022</w:t>
            </w:r>
          </w:p>
        </w:tc>
        <w:tc>
          <w:tcPr>
            <w:tcW w:w="1618" w:type="dxa"/>
            <w:tcBorders>
              <w:top w:val="nil"/>
              <w:left w:val="nil"/>
              <w:bottom w:val="single" w:sz="4" w:space="0" w:color="auto"/>
              <w:right w:val="nil"/>
            </w:tcBorders>
            <w:shd w:val="clear" w:color="auto" w:fill="auto"/>
            <w:noWrap/>
            <w:vAlign w:val="bottom"/>
            <w:hideMark/>
          </w:tcPr>
          <w:p w14:paraId="2447B6F9"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$ 3.110.586.000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6E4343D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75</w:t>
            </w:r>
          </w:p>
        </w:tc>
        <w:tc>
          <w:tcPr>
            <w:tcW w:w="1129" w:type="dxa"/>
            <w:tcBorders>
              <w:top w:val="nil"/>
              <w:left w:val="nil"/>
              <w:bottom w:val="single" w:sz="4" w:space="0" w:color="auto"/>
              <w:right w:val="single" w:sz="8" w:space="0" w:color="auto"/>
            </w:tcBorders>
            <w:shd w:val="clear" w:color="auto" w:fill="auto"/>
            <w:noWrap/>
            <w:vAlign w:val="bottom"/>
            <w:hideMark/>
          </w:tcPr>
          <w:p w14:paraId="258FC4E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1782051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75</w:t>
            </w:r>
          </w:p>
        </w:tc>
      </w:tr>
      <w:tr w:rsidR="00247B01" w:rsidRPr="00247B01" w14:paraId="0D46BFCF"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6E0DAFD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1E20982A"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37A45DE"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64D741D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FDLRUU-CD-306-2023</w:t>
            </w:r>
          </w:p>
        </w:tc>
        <w:tc>
          <w:tcPr>
            <w:tcW w:w="1618" w:type="dxa"/>
            <w:tcBorders>
              <w:top w:val="nil"/>
              <w:left w:val="nil"/>
              <w:bottom w:val="single" w:sz="4" w:space="0" w:color="auto"/>
              <w:right w:val="nil"/>
            </w:tcBorders>
            <w:shd w:val="clear" w:color="auto" w:fill="auto"/>
            <w:noWrap/>
            <w:vAlign w:val="bottom"/>
            <w:hideMark/>
          </w:tcPr>
          <w:p w14:paraId="3105E066"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$ 4.274.000.000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97E763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75</w:t>
            </w:r>
          </w:p>
        </w:tc>
        <w:tc>
          <w:tcPr>
            <w:tcW w:w="1129" w:type="dxa"/>
            <w:tcBorders>
              <w:top w:val="nil"/>
              <w:left w:val="nil"/>
              <w:bottom w:val="single" w:sz="4" w:space="0" w:color="auto"/>
              <w:right w:val="single" w:sz="8" w:space="0" w:color="auto"/>
            </w:tcBorders>
            <w:shd w:val="clear" w:color="auto" w:fill="auto"/>
            <w:noWrap/>
            <w:vAlign w:val="bottom"/>
            <w:hideMark/>
          </w:tcPr>
          <w:p w14:paraId="138A92B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62B7C27"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75</w:t>
            </w:r>
          </w:p>
        </w:tc>
      </w:tr>
      <w:tr w:rsidR="00247B01" w:rsidRPr="00247B01" w14:paraId="1152F150"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6E39214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20BF23D3"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5FCE0694"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nil"/>
              <w:right w:val="single" w:sz="4" w:space="0" w:color="auto"/>
            </w:tcBorders>
            <w:shd w:val="clear" w:color="auto" w:fill="auto"/>
            <w:noWrap/>
            <w:vAlign w:val="center"/>
            <w:hideMark/>
          </w:tcPr>
          <w:p w14:paraId="7DDF4D0E"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FDLRUU-CD-360-2024</w:t>
            </w:r>
          </w:p>
        </w:tc>
        <w:tc>
          <w:tcPr>
            <w:tcW w:w="1618" w:type="dxa"/>
            <w:tcBorders>
              <w:top w:val="nil"/>
              <w:left w:val="nil"/>
              <w:bottom w:val="single" w:sz="4" w:space="0" w:color="auto"/>
              <w:right w:val="nil"/>
            </w:tcBorders>
            <w:shd w:val="clear" w:color="auto" w:fill="auto"/>
            <w:noWrap/>
            <w:vAlign w:val="bottom"/>
            <w:hideMark/>
          </w:tcPr>
          <w:p w14:paraId="7A9C0480"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$ 5.600.000.000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4E658A6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75</w:t>
            </w:r>
          </w:p>
        </w:tc>
        <w:tc>
          <w:tcPr>
            <w:tcW w:w="1129" w:type="dxa"/>
            <w:tcBorders>
              <w:top w:val="nil"/>
              <w:left w:val="nil"/>
              <w:bottom w:val="single" w:sz="4" w:space="0" w:color="auto"/>
              <w:right w:val="single" w:sz="8" w:space="0" w:color="auto"/>
            </w:tcBorders>
            <w:shd w:val="clear" w:color="auto" w:fill="auto"/>
            <w:noWrap/>
            <w:vAlign w:val="bottom"/>
            <w:hideMark/>
          </w:tcPr>
          <w:p w14:paraId="287C4F0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75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3F10B7F"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75</w:t>
            </w:r>
          </w:p>
        </w:tc>
      </w:tr>
      <w:tr w:rsidR="009F1E8B" w:rsidRPr="00247B01" w14:paraId="7294BE62"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36004C4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447BEF54"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61993CAF"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4EB9F73D"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4F4ECE0E"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$ 15.515.863.000</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1D43C255"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300</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4B83092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300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7D02E193"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300</w:t>
            </w:r>
          </w:p>
        </w:tc>
      </w:tr>
      <w:tr w:rsidR="00247B01" w:rsidRPr="00247B01" w14:paraId="0A33BDD4"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4F58AAB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179A04BA"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Ciudad Bolívar</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0AB409A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37E3C481"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37F66B7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$ 9.495.149.000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5B5E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182</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3BA15569"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40</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75670D7"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40</w:t>
            </w:r>
          </w:p>
        </w:tc>
      </w:tr>
      <w:tr w:rsidR="00247B01" w:rsidRPr="00247B01" w14:paraId="60A3F8BD"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7E0619B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4B14BDE5"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75C5DA52"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42557DB7"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FDLCB-CD-470-2022</w:t>
            </w:r>
          </w:p>
        </w:tc>
        <w:tc>
          <w:tcPr>
            <w:tcW w:w="1618" w:type="dxa"/>
            <w:tcBorders>
              <w:top w:val="nil"/>
              <w:left w:val="nil"/>
              <w:bottom w:val="single" w:sz="4" w:space="0" w:color="auto"/>
              <w:right w:val="nil"/>
            </w:tcBorders>
            <w:shd w:val="clear" w:color="auto" w:fill="auto"/>
            <w:noWrap/>
            <w:vAlign w:val="bottom"/>
            <w:hideMark/>
          </w:tcPr>
          <w:p w14:paraId="64C4AE1E"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$ 10.844.316.000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6858B087"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190</w:t>
            </w:r>
          </w:p>
        </w:tc>
        <w:tc>
          <w:tcPr>
            <w:tcW w:w="1129" w:type="dxa"/>
            <w:tcBorders>
              <w:top w:val="nil"/>
              <w:left w:val="nil"/>
              <w:bottom w:val="single" w:sz="4" w:space="0" w:color="auto"/>
              <w:right w:val="single" w:sz="8" w:space="0" w:color="auto"/>
            </w:tcBorders>
            <w:shd w:val="clear" w:color="auto" w:fill="auto"/>
            <w:noWrap/>
            <w:vAlign w:val="bottom"/>
            <w:hideMark/>
          </w:tcPr>
          <w:p w14:paraId="2D79200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190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1ACDB4F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190</w:t>
            </w:r>
          </w:p>
        </w:tc>
      </w:tr>
      <w:tr w:rsidR="00247B01" w:rsidRPr="00247B01" w14:paraId="3F7AAADE"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0D8A4D6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0DC8C4C9"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6A320E5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1D5DDA3B"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FDLCB-CD-567-2023</w:t>
            </w:r>
          </w:p>
        </w:tc>
        <w:tc>
          <w:tcPr>
            <w:tcW w:w="1618" w:type="dxa"/>
            <w:tcBorders>
              <w:top w:val="nil"/>
              <w:left w:val="nil"/>
              <w:bottom w:val="single" w:sz="4" w:space="0" w:color="auto"/>
              <w:right w:val="nil"/>
            </w:tcBorders>
            <w:shd w:val="clear" w:color="auto" w:fill="auto"/>
            <w:noWrap/>
            <w:vAlign w:val="bottom"/>
            <w:hideMark/>
          </w:tcPr>
          <w:p w14:paraId="3489D81C"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$ 16.115.919.971</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2734795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302</w:t>
            </w:r>
          </w:p>
        </w:tc>
        <w:tc>
          <w:tcPr>
            <w:tcW w:w="1129" w:type="dxa"/>
            <w:tcBorders>
              <w:top w:val="nil"/>
              <w:left w:val="nil"/>
              <w:bottom w:val="single" w:sz="4" w:space="0" w:color="auto"/>
              <w:right w:val="single" w:sz="8" w:space="0" w:color="auto"/>
            </w:tcBorders>
            <w:shd w:val="clear" w:color="auto" w:fill="auto"/>
            <w:noWrap/>
            <w:vAlign w:val="bottom"/>
            <w:hideMark/>
          </w:tcPr>
          <w:p w14:paraId="23210B2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302</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5B4ADC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302</w:t>
            </w:r>
          </w:p>
        </w:tc>
      </w:tr>
      <w:tr w:rsidR="00247B01" w:rsidRPr="00247B01" w14:paraId="2061B148"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5FF9D3B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0E3D4312"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5F42C69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single" w:sz="4" w:space="0" w:color="auto"/>
              <w:right w:val="single" w:sz="4" w:space="0" w:color="auto"/>
            </w:tcBorders>
            <w:shd w:val="clear" w:color="auto" w:fill="auto"/>
            <w:noWrap/>
            <w:vAlign w:val="center"/>
            <w:hideMark/>
          </w:tcPr>
          <w:p w14:paraId="1FCA0393"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FDLCB-CD-1171-2024</w:t>
            </w:r>
          </w:p>
        </w:tc>
        <w:tc>
          <w:tcPr>
            <w:tcW w:w="1618" w:type="dxa"/>
            <w:tcBorders>
              <w:top w:val="nil"/>
              <w:left w:val="nil"/>
              <w:bottom w:val="single" w:sz="4" w:space="0" w:color="auto"/>
              <w:right w:val="nil"/>
            </w:tcBorders>
            <w:shd w:val="clear" w:color="auto" w:fill="auto"/>
            <w:noWrap/>
            <w:vAlign w:val="bottom"/>
            <w:hideMark/>
          </w:tcPr>
          <w:p w14:paraId="23F7DB05"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$ 18.829.389.000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769A26A1"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258</w:t>
            </w:r>
          </w:p>
        </w:tc>
        <w:tc>
          <w:tcPr>
            <w:tcW w:w="1129" w:type="dxa"/>
            <w:tcBorders>
              <w:top w:val="nil"/>
              <w:left w:val="nil"/>
              <w:bottom w:val="single" w:sz="4" w:space="0" w:color="auto"/>
              <w:right w:val="single" w:sz="8" w:space="0" w:color="auto"/>
            </w:tcBorders>
            <w:shd w:val="clear" w:color="auto" w:fill="auto"/>
            <w:noWrap/>
            <w:vAlign w:val="bottom"/>
            <w:hideMark/>
          </w:tcPr>
          <w:p w14:paraId="12C8EA3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258</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0CD55CF"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258</w:t>
            </w:r>
          </w:p>
        </w:tc>
      </w:tr>
      <w:tr w:rsidR="009F1E8B" w:rsidRPr="00247B01" w14:paraId="71A8AFE6"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5EDACAC8"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0AA23A45"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0CA213D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40E0612C"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7AFC99B1"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$ 55.284.773.971</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47A10ACB"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932</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0827F261"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790</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7F8A248A"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790</w:t>
            </w:r>
          </w:p>
        </w:tc>
      </w:tr>
      <w:tr w:rsidR="00247B01" w:rsidRPr="00247B01" w14:paraId="0A67FE77"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6F710ECD"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1</w:t>
            </w:r>
          </w:p>
        </w:tc>
        <w:tc>
          <w:tcPr>
            <w:tcW w:w="1282" w:type="dxa"/>
            <w:vMerge w:val="restart"/>
            <w:tcBorders>
              <w:top w:val="nil"/>
              <w:left w:val="single" w:sz="4" w:space="0" w:color="auto"/>
              <w:bottom w:val="single" w:sz="8" w:space="0" w:color="000000"/>
              <w:right w:val="nil"/>
            </w:tcBorders>
            <w:shd w:val="clear" w:color="auto" w:fill="auto"/>
            <w:noWrap/>
            <w:vAlign w:val="center"/>
            <w:hideMark/>
          </w:tcPr>
          <w:p w14:paraId="5F51BF3D"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Sumapaz LEP</w:t>
            </w: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5E226F3C"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2021</w:t>
            </w:r>
          </w:p>
        </w:tc>
        <w:tc>
          <w:tcPr>
            <w:tcW w:w="1946" w:type="dxa"/>
            <w:tcBorders>
              <w:top w:val="nil"/>
              <w:left w:val="nil"/>
              <w:bottom w:val="single" w:sz="4" w:space="0" w:color="auto"/>
              <w:right w:val="single" w:sz="4" w:space="0" w:color="auto"/>
            </w:tcBorders>
            <w:shd w:val="clear" w:color="auto" w:fill="auto"/>
            <w:noWrap/>
            <w:vAlign w:val="center"/>
            <w:hideMark/>
          </w:tcPr>
          <w:p w14:paraId="6A123619"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2267-2021</w:t>
            </w:r>
          </w:p>
        </w:tc>
        <w:tc>
          <w:tcPr>
            <w:tcW w:w="1618" w:type="dxa"/>
            <w:tcBorders>
              <w:top w:val="nil"/>
              <w:left w:val="nil"/>
              <w:bottom w:val="single" w:sz="4" w:space="0" w:color="auto"/>
              <w:right w:val="nil"/>
            </w:tcBorders>
            <w:shd w:val="clear" w:color="auto" w:fill="auto"/>
            <w:noWrap/>
            <w:vAlign w:val="bottom"/>
            <w:hideMark/>
          </w:tcPr>
          <w:p w14:paraId="57B24D19"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$ 2.894.552.000</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4A720"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40</w:t>
            </w:r>
          </w:p>
        </w:tc>
        <w:tc>
          <w:tcPr>
            <w:tcW w:w="1129" w:type="dxa"/>
            <w:tcBorders>
              <w:top w:val="single" w:sz="4" w:space="0" w:color="auto"/>
              <w:left w:val="nil"/>
              <w:bottom w:val="single" w:sz="4" w:space="0" w:color="auto"/>
              <w:right w:val="single" w:sz="8" w:space="0" w:color="auto"/>
            </w:tcBorders>
            <w:shd w:val="clear" w:color="auto" w:fill="auto"/>
            <w:noWrap/>
            <w:vAlign w:val="bottom"/>
            <w:hideMark/>
          </w:tcPr>
          <w:p w14:paraId="5ACC57C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40</w:t>
            </w:r>
          </w:p>
        </w:tc>
        <w:tc>
          <w:tcPr>
            <w:tcW w:w="104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C516A4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40</w:t>
            </w:r>
          </w:p>
        </w:tc>
      </w:tr>
      <w:tr w:rsidR="00247B01" w:rsidRPr="00247B01" w14:paraId="5D1D16A1" w14:textId="77777777" w:rsidTr="000B6F83">
        <w:trPr>
          <w:trHeight w:val="231"/>
        </w:trPr>
        <w:tc>
          <w:tcPr>
            <w:tcW w:w="336" w:type="dxa"/>
            <w:tcBorders>
              <w:top w:val="nil"/>
              <w:left w:val="single" w:sz="8" w:space="0" w:color="auto"/>
              <w:bottom w:val="single" w:sz="4" w:space="0" w:color="auto"/>
              <w:right w:val="single" w:sz="4" w:space="0" w:color="auto"/>
            </w:tcBorders>
            <w:shd w:val="clear" w:color="auto" w:fill="auto"/>
            <w:noWrap/>
            <w:vAlign w:val="bottom"/>
            <w:hideMark/>
          </w:tcPr>
          <w:p w14:paraId="5299E3AF"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w:t>
            </w:r>
          </w:p>
        </w:tc>
        <w:tc>
          <w:tcPr>
            <w:tcW w:w="1282" w:type="dxa"/>
            <w:vMerge/>
            <w:tcBorders>
              <w:top w:val="nil"/>
              <w:left w:val="single" w:sz="4" w:space="0" w:color="auto"/>
              <w:bottom w:val="single" w:sz="8" w:space="0" w:color="000000"/>
              <w:right w:val="nil"/>
            </w:tcBorders>
            <w:vAlign w:val="center"/>
            <w:hideMark/>
          </w:tcPr>
          <w:p w14:paraId="74C0A336"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1D424B60"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2022</w:t>
            </w:r>
          </w:p>
        </w:tc>
        <w:tc>
          <w:tcPr>
            <w:tcW w:w="1946" w:type="dxa"/>
            <w:tcBorders>
              <w:top w:val="nil"/>
              <w:left w:val="nil"/>
              <w:bottom w:val="single" w:sz="4" w:space="0" w:color="auto"/>
              <w:right w:val="single" w:sz="4" w:space="0" w:color="auto"/>
            </w:tcBorders>
            <w:shd w:val="clear" w:color="auto" w:fill="auto"/>
            <w:noWrap/>
            <w:vAlign w:val="center"/>
            <w:hideMark/>
          </w:tcPr>
          <w:p w14:paraId="135265FD"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FDRS-CD-237-2022</w:t>
            </w:r>
          </w:p>
        </w:tc>
        <w:tc>
          <w:tcPr>
            <w:tcW w:w="1618" w:type="dxa"/>
            <w:tcBorders>
              <w:top w:val="nil"/>
              <w:left w:val="nil"/>
              <w:bottom w:val="single" w:sz="4" w:space="0" w:color="auto"/>
              <w:right w:val="nil"/>
            </w:tcBorders>
            <w:shd w:val="clear" w:color="auto" w:fill="auto"/>
            <w:noWrap/>
            <w:vAlign w:val="bottom"/>
            <w:hideMark/>
          </w:tcPr>
          <w:p w14:paraId="5B1F52A8" w14:textId="77777777" w:rsidR="00247B01" w:rsidRPr="00247B01" w:rsidRDefault="00247B01" w:rsidP="00247B01">
            <w:pPr>
              <w:jc w:val="right"/>
              <w:rPr>
                <w:rFonts w:ascii="Garamond" w:hAnsi="Garamond"/>
                <w:sz w:val="16"/>
                <w:szCs w:val="16"/>
                <w:lang w:eastAsia="es-CO"/>
              </w:rPr>
            </w:pPr>
            <w:r w:rsidRPr="00247B01">
              <w:rPr>
                <w:rFonts w:ascii="Garamond" w:hAnsi="Garamond"/>
                <w:sz w:val="16"/>
                <w:szCs w:val="16"/>
                <w:lang w:eastAsia="es-CO"/>
              </w:rPr>
              <w:t>$ 1.415.000.000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5BB2D644"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40</w:t>
            </w:r>
          </w:p>
        </w:tc>
        <w:tc>
          <w:tcPr>
            <w:tcW w:w="1129" w:type="dxa"/>
            <w:tcBorders>
              <w:top w:val="nil"/>
              <w:left w:val="nil"/>
              <w:bottom w:val="single" w:sz="4" w:space="0" w:color="auto"/>
              <w:right w:val="single" w:sz="8" w:space="0" w:color="auto"/>
            </w:tcBorders>
            <w:shd w:val="clear" w:color="auto" w:fill="auto"/>
            <w:noWrap/>
            <w:vAlign w:val="bottom"/>
            <w:hideMark/>
          </w:tcPr>
          <w:p w14:paraId="76D2C35E"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40</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0E9DF718"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40</w:t>
            </w:r>
          </w:p>
        </w:tc>
      </w:tr>
      <w:tr w:rsidR="00247B01" w:rsidRPr="00247B01" w14:paraId="23E197EA" w14:textId="77777777" w:rsidTr="000B6F83">
        <w:trPr>
          <w:trHeight w:val="231"/>
        </w:trPr>
        <w:tc>
          <w:tcPr>
            <w:tcW w:w="336" w:type="dxa"/>
            <w:tcBorders>
              <w:top w:val="nil"/>
              <w:left w:val="single" w:sz="8" w:space="0" w:color="auto"/>
              <w:bottom w:val="nil"/>
              <w:right w:val="single" w:sz="4" w:space="0" w:color="auto"/>
            </w:tcBorders>
            <w:shd w:val="clear" w:color="auto" w:fill="auto"/>
            <w:noWrap/>
            <w:vAlign w:val="bottom"/>
            <w:hideMark/>
          </w:tcPr>
          <w:p w14:paraId="3FFA003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3</w:t>
            </w:r>
          </w:p>
        </w:tc>
        <w:tc>
          <w:tcPr>
            <w:tcW w:w="1282" w:type="dxa"/>
            <w:vMerge/>
            <w:tcBorders>
              <w:top w:val="nil"/>
              <w:left w:val="single" w:sz="4" w:space="0" w:color="auto"/>
              <w:bottom w:val="single" w:sz="8" w:space="0" w:color="000000"/>
              <w:right w:val="nil"/>
            </w:tcBorders>
            <w:vAlign w:val="center"/>
            <w:hideMark/>
          </w:tcPr>
          <w:p w14:paraId="74E6529B"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single" w:sz="4" w:space="0" w:color="auto"/>
              <w:right w:val="single" w:sz="4" w:space="0" w:color="auto"/>
            </w:tcBorders>
            <w:shd w:val="clear" w:color="auto" w:fill="auto"/>
            <w:noWrap/>
            <w:vAlign w:val="center"/>
            <w:hideMark/>
          </w:tcPr>
          <w:p w14:paraId="42FBF959"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2023</w:t>
            </w:r>
          </w:p>
        </w:tc>
        <w:tc>
          <w:tcPr>
            <w:tcW w:w="1946" w:type="dxa"/>
            <w:tcBorders>
              <w:top w:val="nil"/>
              <w:left w:val="nil"/>
              <w:bottom w:val="single" w:sz="4" w:space="0" w:color="auto"/>
              <w:right w:val="single" w:sz="4" w:space="0" w:color="auto"/>
            </w:tcBorders>
            <w:shd w:val="clear" w:color="auto" w:fill="auto"/>
            <w:noWrap/>
            <w:vAlign w:val="center"/>
            <w:hideMark/>
          </w:tcPr>
          <w:p w14:paraId="57999AAE"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FDRS-CIA-317-2023</w:t>
            </w:r>
          </w:p>
        </w:tc>
        <w:tc>
          <w:tcPr>
            <w:tcW w:w="1618" w:type="dxa"/>
            <w:tcBorders>
              <w:top w:val="nil"/>
              <w:left w:val="nil"/>
              <w:bottom w:val="single" w:sz="4" w:space="0" w:color="auto"/>
              <w:right w:val="nil"/>
            </w:tcBorders>
            <w:shd w:val="clear" w:color="auto" w:fill="auto"/>
            <w:noWrap/>
            <w:vAlign w:val="bottom"/>
            <w:hideMark/>
          </w:tcPr>
          <w:p w14:paraId="3ACFECC3"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$ 208.583.224</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55BACFBA"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w:t>
            </w:r>
          </w:p>
        </w:tc>
        <w:tc>
          <w:tcPr>
            <w:tcW w:w="1129" w:type="dxa"/>
            <w:tcBorders>
              <w:top w:val="nil"/>
              <w:left w:val="nil"/>
              <w:bottom w:val="single" w:sz="4" w:space="0" w:color="auto"/>
              <w:right w:val="single" w:sz="8" w:space="0" w:color="auto"/>
            </w:tcBorders>
            <w:shd w:val="clear" w:color="auto" w:fill="auto"/>
            <w:noWrap/>
            <w:vAlign w:val="bottom"/>
            <w:hideMark/>
          </w:tcPr>
          <w:p w14:paraId="7ABFF912"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6</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31C313F6"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w:t>
            </w:r>
          </w:p>
        </w:tc>
      </w:tr>
      <w:tr w:rsidR="00247B01" w:rsidRPr="00247B01" w14:paraId="27D930CF" w14:textId="77777777" w:rsidTr="000B6F83">
        <w:trPr>
          <w:trHeight w:val="243"/>
        </w:trPr>
        <w:tc>
          <w:tcPr>
            <w:tcW w:w="336" w:type="dxa"/>
            <w:tcBorders>
              <w:top w:val="single" w:sz="4" w:space="0" w:color="auto"/>
              <w:left w:val="single" w:sz="8" w:space="0" w:color="auto"/>
              <w:bottom w:val="nil"/>
              <w:right w:val="single" w:sz="4" w:space="0" w:color="auto"/>
            </w:tcBorders>
            <w:shd w:val="clear" w:color="auto" w:fill="auto"/>
            <w:noWrap/>
            <w:vAlign w:val="bottom"/>
            <w:hideMark/>
          </w:tcPr>
          <w:p w14:paraId="208DB3CB"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4</w:t>
            </w:r>
          </w:p>
        </w:tc>
        <w:tc>
          <w:tcPr>
            <w:tcW w:w="1282" w:type="dxa"/>
            <w:vMerge/>
            <w:tcBorders>
              <w:top w:val="nil"/>
              <w:left w:val="single" w:sz="4" w:space="0" w:color="auto"/>
              <w:bottom w:val="single" w:sz="8" w:space="0" w:color="000000"/>
              <w:right w:val="nil"/>
            </w:tcBorders>
            <w:vAlign w:val="center"/>
            <w:hideMark/>
          </w:tcPr>
          <w:p w14:paraId="773726AB" w14:textId="77777777" w:rsidR="00247B01" w:rsidRPr="00247B01" w:rsidRDefault="00247B01" w:rsidP="00247B01">
            <w:pPr>
              <w:rPr>
                <w:rFonts w:ascii="Garamond" w:hAnsi="Garamond"/>
                <w:color w:val="000000"/>
                <w:sz w:val="16"/>
                <w:szCs w:val="16"/>
                <w:lang w:eastAsia="es-CO"/>
              </w:rPr>
            </w:pPr>
          </w:p>
        </w:tc>
        <w:tc>
          <w:tcPr>
            <w:tcW w:w="962" w:type="dxa"/>
            <w:tcBorders>
              <w:top w:val="nil"/>
              <w:left w:val="single" w:sz="4" w:space="0" w:color="auto"/>
              <w:bottom w:val="nil"/>
              <w:right w:val="single" w:sz="4" w:space="0" w:color="auto"/>
            </w:tcBorders>
            <w:shd w:val="clear" w:color="auto" w:fill="auto"/>
            <w:noWrap/>
            <w:vAlign w:val="center"/>
            <w:hideMark/>
          </w:tcPr>
          <w:p w14:paraId="19D3699B"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2024</w:t>
            </w:r>
          </w:p>
        </w:tc>
        <w:tc>
          <w:tcPr>
            <w:tcW w:w="1946" w:type="dxa"/>
            <w:tcBorders>
              <w:top w:val="nil"/>
              <w:left w:val="nil"/>
              <w:bottom w:val="single" w:sz="4" w:space="0" w:color="auto"/>
              <w:right w:val="single" w:sz="4" w:space="0" w:color="auto"/>
            </w:tcBorders>
            <w:shd w:val="clear" w:color="auto" w:fill="auto"/>
            <w:noWrap/>
            <w:vAlign w:val="center"/>
            <w:hideMark/>
          </w:tcPr>
          <w:p w14:paraId="5E871FF8"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FDRS-CIA-597-2024</w:t>
            </w:r>
          </w:p>
        </w:tc>
        <w:tc>
          <w:tcPr>
            <w:tcW w:w="1618" w:type="dxa"/>
            <w:tcBorders>
              <w:top w:val="nil"/>
              <w:left w:val="nil"/>
              <w:bottom w:val="single" w:sz="4" w:space="0" w:color="auto"/>
              <w:right w:val="nil"/>
            </w:tcBorders>
            <w:shd w:val="clear" w:color="auto" w:fill="auto"/>
            <w:noWrap/>
            <w:vAlign w:val="bottom"/>
            <w:hideMark/>
          </w:tcPr>
          <w:p w14:paraId="00E263EF" w14:textId="77777777" w:rsidR="00247B01" w:rsidRPr="00247B01" w:rsidRDefault="00247B01" w:rsidP="00247B01">
            <w:pPr>
              <w:jc w:val="right"/>
              <w:rPr>
                <w:rFonts w:ascii="Garamond" w:hAnsi="Garamond"/>
                <w:color w:val="000000"/>
                <w:sz w:val="16"/>
                <w:szCs w:val="16"/>
                <w:lang w:eastAsia="es-CO"/>
              </w:rPr>
            </w:pPr>
            <w:r w:rsidRPr="00247B01">
              <w:rPr>
                <w:rFonts w:ascii="Garamond" w:hAnsi="Garamond"/>
                <w:color w:val="000000"/>
                <w:sz w:val="16"/>
                <w:szCs w:val="16"/>
                <w:lang w:eastAsia="es-CO"/>
              </w:rPr>
              <w:t>$ 2.860.000.000</w:t>
            </w:r>
          </w:p>
        </w:tc>
        <w:tc>
          <w:tcPr>
            <w:tcW w:w="1041" w:type="dxa"/>
            <w:tcBorders>
              <w:top w:val="nil"/>
              <w:left w:val="single" w:sz="4" w:space="0" w:color="auto"/>
              <w:bottom w:val="single" w:sz="4" w:space="0" w:color="auto"/>
              <w:right w:val="single" w:sz="4" w:space="0" w:color="auto"/>
            </w:tcBorders>
            <w:shd w:val="clear" w:color="auto" w:fill="auto"/>
            <w:noWrap/>
            <w:vAlign w:val="bottom"/>
            <w:hideMark/>
          </w:tcPr>
          <w:p w14:paraId="08207E73"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25</w:t>
            </w:r>
          </w:p>
        </w:tc>
        <w:tc>
          <w:tcPr>
            <w:tcW w:w="1129" w:type="dxa"/>
            <w:tcBorders>
              <w:top w:val="nil"/>
              <w:left w:val="nil"/>
              <w:bottom w:val="single" w:sz="4" w:space="0" w:color="auto"/>
              <w:right w:val="single" w:sz="8" w:space="0" w:color="auto"/>
            </w:tcBorders>
            <w:shd w:val="clear" w:color="auto" w:fill="auto"/>
            <w:noWrap/>
            <w:vAlign w:val="bottom"/>
            <w:hideMark/>
          </w:tcPr>
          <w:p w14:paraId="619FC53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25</w:t>
            </w:r>
          </w:p>
        </w:tc>
        <w:tc>
          <w:tcPr>
            <w:tcW w:w="1041" w:type="dxa"/>
            <w:tcBorders>
              <w:top w:val="nil"/>
              <w:left w:val="single" w:sz="4" w:space="0" w:color="auto"/>
              <w:bottom w:val="single" w:sz="4" w:space="0" w:color="auto"/>
              <w:right w:val="single" w:sz="8" w:space="0" w:color="auto"/>
            </w:tcBorders>
            <w:shd w:val="clear" w:color="auto" w:fill="auto"/>
            <w:noWrap/>
            <w:vAlign w:val="bottom"/>
            <w:hideMark/>
          </w:tcPr>
          <w:p w14:paraId="495DA03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25</w:t>
            </w:r>
          </w:p>
        </w:tc>
      </w:tr>
      <w:tr w:rsidR="009F1E8B" w:rsidRPr="00247B01" w14:paraId="47D9B8E9" w14:textId="77777777" w:rsidTr="000B6F83">
        <w:trPr>
          <w:trHeight w:val="243"/>
        </w:trPr>
        <w:tc>
          <w:tcPr>
            <w:tcW w:w="33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52323736" w14:textId="77777777" w:rsidR="00247B01" w:rsidRPr="00247B01" w:rsidRDefault="00247B01" w:rsidP="00247B01">
            <w:pPr>
              <w:jc w:val="center"/>
              <w:rPr>
                <w:rFonts w:ascii="Garamond" w:hAnsi="Garamond"/>
                <w:color w:val="000000"/>
                <w:sz w:val="16"/>
                <w:szCs w:val="16"/>
                <w:lang w:eastAsia="es-CO"/>
              </w:rPr>
            </w:pPr>
            <w:r w:rsidRPr="00247B01">
              <w:rPr>
                <w:rFonts w:ascii="Garamond" w:hAnsi="Garamond"/>
                <w:color w:val="000000"/>
                <w:sz w:val="16"/>
                <w:szCs w:val="16"/>
                <w:lang w:eastAsia="es-CO"/>
              </w:rPr>
              <w:t>5</w:t>
            </w:r>
          </w:p>
        </w:tc>
        <w:tc>
          <w:tcPr>
            <w:tcW w:w="1282" w:type="dxa"/>
            <w:vMerge/>
            <w:tcBorders>
              <w:top w:val="nil"/>
              <w:left w:val="single" w:sz="4" w:space="0" w:color="auto"/>
              <w:bottom w:val="single" w:sz="8" w:space="0" w:color="000000"/>
              <w:right w:val="nil"/>
            </w:tcBorders>
            <w:vAlign w:val="center"/>
            <w:hideMark/>
          </w:tcPr>
          <w:p w14:paraId="6B7CED6E" w14:textId="77777777" w:rsidR="00247B01" w:rsidRPr="00247B01" w:rsidRDefault="00247B01" w:rsidP="00247B01">
            <w:pPr>
              <w:rPr>
                <w:rFonts w:ascii="Garamond" w:hAnsi="Garamond"/>
                <w:color w:val="000000"/>
                <w:sz w:val="16"/>
                <w:szCs w:val="16"/>
                <w:lang w:eastAsia="es-CO"/>
              </w:rPr>
            </w:pPr>
          </w:p>
        </w:tc>
        <w:tc>
          <w:tcPr>
            <w:tcW w:w="962" w:type="dxa"/>
            <w:tcBorders>
              <w:top w:val="single" w:sz="8" w:space="0" w:color="auto"/>
              <w:left w:val="single" w:sz="8" w:space="0" w:color="auto"/>
              <w:bottom w:val="single" w:sz="8" w:space="0" w:color="auto"/>
              <w:right w:val="single" w:sz="4" w:space="0" w:color="auto"/>
            </w:tcBorders>
            <w:shd w:val="clear" w:color="000000" w:fill="D0D0D0"/>
            <w:noWrap/>
            <w:vAlign w:val="center"/>
            <w:hideMark/>
          </w:tcPr>
          <w:p w14:paraId="32AD747F" w14:textId="77777777" w:rsidR="00247B01" w:rsidRPr="00247B01" w:rsidRDefault="00247B01" w:rsidP="00247B01">
            <w:pPr>
              <w:rPr>
                <w:rFonts w:ascii="Garamond" w:hAnsi="Garamond"/>
                <w:color w:val="000000"/>
                <w:sz w:val="16"/>
                <w:szCs w:val="16"/>
                <w:lang w:eastAsia="es-CO"/>
              </w:rPr>
            </w:pPr>
            <w:r w:rsidRPr="00247B01">
              <w:rPr>
                <w:rFonts w:ascii="Garamond" w:hAnsi="Garamond"/>
                <w:color w:val="000000"/>
                <w:sz w:val="16"/>
                <w:szCs w:val="16"/>
                <w:lang w:eastAsia="es-CO"/>
              </w:rPr>
              <w:t> </w:t>
            </w:r>
          </w:p>
        </w:tc>
        <w:tc>
          <w:tcPr>
            <w:tcW w:w="1946" w:type="dxa"/>
            <w:tcBorders>
              <w:top w:val="single" w:sz="8" w:space="0" w:color="auto"/>
              <w:left w:val="nil"/>
              <w:bottom w:val="single" w:sz="8" w:space="0" w:color="auto"/>
              <w:right w:val="nil"/>
            </w:tcBorders>
            <w:shd w:val="clear" w:color="000000" w:fill="D0D0D0"/>
            <w:noWrap/>
            <w:vAlign w:val="center"/>
            <w:hideMark/>
          </w:tcPr>
          <w:p w14:paraId="435AF664" w14:textId="77777777" w:rsidR="00247B01" w:rsidRPr="00247B01" w:rsidRDefault="00247B01" w:rsidP="00247B01">
            <w:pPr>
              <w:rPr>
                <w:rFonts w:ascii="Garamond" w:hAnsi="Garamond"/>
                <w:b/>
                <w:bCs/>
                <w:color w:val="000000"/>
                <w:sz w:val="16"/>
                <w:szCs w:val="16"/>
                <w:lang w:eastAsia="es-CO"/>
              </w:rPr>
            </w:pPr>
            <w:r w:rsidRPr="00247B01">
              <w:rPr>
                <w:rFonts w:ascii="Garamond" w:hAnsi="Garamond"/>
                <w:b/>
                <w:bCs/>
                <w:color w:val="000000"/>
                <w:sz w:val="16"/>
                <w:szCs w:val="16"/>
                <w:lang w:eastAsia="es-CO"/>
              </w:rPr>
              <w:t>TOTAL</w:t>
            </w:r>
          </w:p>
        </w:tc>
        <w:tc>
          <w:tcPr>
            <w:tcW w:w="1618" w:type="dxa"/>
            <w:tcBorders>
              <w:top w:val="single" w:sz="8" w:space="0" w:color="auto"/>
              <w:left w:val="single" w:sz="8" w:space="0" w:color="auto"/>
              <w:bottom w:val="single" w:sz="8" w:space="0" w:color="auto"/>
              <w:right w:val="nil"/>
            </w:tcBorders>
            <w:shd w:val="clear" w:color="000000" w:fill="D0D0D0"/>
            <w:noWrap/>
            <w:vAlign w:val="bottom"/>
            <w:hideMark/>
          </w:tcPr>
          <w:p w14:paraId="13AB3465" w14:textId="77777777" w:rsidR="00247B01" w:rsidRPr="00247B01" w:rsidRDefault="00247B01" w:rsidP="00247B01">
            <w:pPr>
              <w:jc w:val="right"/>
              <w:rPr>
                <w:rFonts w:ascii="Garamond" w:hAnsi="Garamond"/>
                <w:b/>
                <w:bCs/>
                <w:color w:val="000000"/>
                <w:sz w:val="16"/>
                <w:szCs w:val="16"/>
                <w:lang w:eastAsia="es-CO"/>
              </w:rPr>
            </w:pPr>
            <w:r w:rsidRPr="00247B01">
              <w:rPr>
                <w:rFonts w:ascii="Garamond" w:hAnsi="Garamond"/>
                <w:b/>
                <w:bCs/>
                <w:color w:val="000000"/>
                <w:sz w:val="16"/>
                <w:szCs w:val="16"/>
                <w:lang w:eastAsia="es-CO"/>
              </w:rPr>
              <w:t>$ 7.378.135.224</w:t>
            </w:r>
          </w:p>
        </w:tc>
        <w:tc>
          <w:tcPr>
            <w:tcW w:w="1041" w:type="dxa"/>
            <w:tcBorders>
              <w:top w:val="single" w:sz="8" w:space="0" w:color="auto"/>
              <w:left w:val="single" w:sz="4" w:space="0" w:color="auto"/>
              <w:bottom w:val="single" w:sz="8" w:space="0" w:color="auto"/>
              <w:right w:val="nil"/>
            </w:tcBorders>
            <w:shd w:val="clear" w:color="000000" w:fill="D0D0D0"/>
            <w:noWrap/>
            <w:vAlign w:val="bottom"/>
            <w:hideMark/>
          </w:tcPr>
          <w:p w14:paraId="2A05C6E8"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111</w:t>
            </w:r>
          </w:p>
        </w:tc>
        <w:tc>
          <w:tcPr>
            <w:tcW w:w="1129"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3AAC7F4F"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111</w:t>
            </w:r>
          </w:p>
        </w:tc>
        <w:tc>
          <w:tcPr>
            <w:tcW w:w="1041" w:type="dxa"/>
            <w:tcBorders>
              <w:top w:val="single" w:sz="8" w:space="0" w:color="auto"/>
              <w:left w:val="single" w:sz="4" w:space="0" w:color="auto"/>
              <w:bottom w:val="single" w:sz="8" w:space="0" w:color="auto"/>
              <w:right w:val="single" w:sz="8" w:space="0" w:color="auto"/>
            </w:tcBorders>
            <w:shd w:val="clear" w:color="000000" w:fill="D0D0D0"/>
            <w:noWrap/>
            <w:vAlign w:val="bottom"/>
            <w:hideMark/>
          </w:tcPr>
          <w:p w14:paraId="069CC90D"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111</w:t>
            </w:r>
          </w:p>
        </w:tc>
      </w:tr>
      <w:tr w:rsidR="00247B01" w:rsidRPr="00247B01" w14:paraId="768E80AB" w14:textId="77777777" w:rsidTr="000B6F83">
        <w:trPr>
          <w:trHeight w:val="243"/>
        </w:trPr>
        <w:tc>
          <w:tcPr>
            <w:tcW w:w="2580" w:type="dxa"/>
            <w:gridSpan w:val="3"/>
            <w:tcBorders>
              <w:top w:val="nil"/>
              <w:left w:val="single" w:sz="8" w:space="0" w:color="auto"/>
              <w:bottom w:val="single" w:sz="8" w:space="0" w:color="auto"/>
              <w:right w:val="single" w:sz="4" w:space="0" w:color="000000"/>
            </w:tcBorders>
            <w:shd w:val="clear" w:color="000000" w:fill="DAE9F8"/>
            <w:noWrap/>
            <w:vAlign w:val="bottom"/>
            <w:hideMark/>
          </w:tcPr>
          <w:p w14:paraId="06979D89" w14:textId="77777777" w:rsidR="00247B01" w:rsidRPr="00247B01" w:rsidRDefault="00247B01" w:rsidP="00247B01">
            <w:pPr>
              <w:jc w:val="center"/>
              <w:rPr>
                <w:rFonts w:ascii="Garamond" w:hAnsi="Garamond"/>
                <w:b/>
                <w:bCs/>
                <w:sz w:val="16"/>
                <w:szCs w:val="16"/>
                <w:lang w:eastAsia="es-CO"/>
              </w:rPr>
            </w:pPr>
            <w:r w:rsidRPr="00247B01">
              <w:rPr>
                <w:rFonts w:ascii="Garamond" w:hAnsi="Garamond"/>
                <w:b/>
                <w:bCs/>
                <w:sz w:val="16"/>
                <w:szCs w:val="16"/>
                <w:lang w:eastAsia="es-CO"/>
              </w:rPr>
              <w:t>Totales</w:t>
            </w:r>
          </w:p>
        </w:tc>
        <w:tc>
          <w:tcPr>
            <w:tcW w:w="1946" w:type="dxa"/>
            <w:tcBorders>
              <w:top w:val="nil"/>
              <w:left w:val="nil"/>
              <w:bottom w:val="single" w:sz="8" w:space="0" w:color="auto"/>
              <w:right w:val="single" w:sz="4" w:space="0" w:color="auto"/>
            </w:tcBorders>
            <w:shd w:val="clear" w:color="000000" w:fill="DAE9F8"/>
            <w:noWrap/>
            <w:vAlign w:val="center"/>
            <w:hideMark/>
          </w:tcPr>
          <w:p w14:paraId="018350EA" w14:textId="77777777" w:rsidR="00247B01" w:rsidRPr="00247B01" w:rsidRDefault="00247B01" w:rsidP="00247B01">
            <w:pPr>
              <w:rPr>
                <w:rFonts w:ascii="Garamond" w:hAnsi="Garamond"/>
                <w:b/>
                <w:bCs/>
                <w:sz w:val="16"/>
                <w:szCs w:val="16"/>
                <w:lang w:eastAsia="es-CO"/>
              </w:rPr>
            </w:pPr>
            <w:r w:rsidRPr="00247B01">
              <w:rPr>
                <w:rFonts w:ascii="Garamond" w:hAnsi="Garamond"/>
                <w:b/>
                <w:bCs/>
                <w:sz w:val="16"/>
                <w:szCs w:val="16"/>
                <w:lang w:eastAsia="es-CO"/>
              </w:rPr>
              <w:t> </w:t>
            </w:r>
          </w:p>
        </w:tc>
        <w:tc>
          <w:tcPr>
            <w:tcW w:w="1618" w:type="dxa"/>
            <w:tcBorders>
              <w:top w:val="nil"/>
              <w:left w:val="nil"/>
              <w:bottom w:val="single" w:sz="8" w:space="0" w:color="auto"/>
              <w:right w:val="nil"/>
            </w:tcBorders>
            <w:shd w:val="clear" w:color="000000" w:fill="DAE9F8"/>
            <w:noWrap/>
            <w:vAlign w:val="bottom"/>
            <w:hideMark/>
          </w:tcPr>
          <w:p w14:paraId="25C3C0B4" w14:textId="77777777" w:rsidR="00247B01" w:rsidRPr="00247B01" w:rsidRDefault="00247B01" w:rsidP="00247B01">
            <w:pPr>
              <w:jc w:val="right"/>
              <w:rPr>
                <w:rFonts w:ascii="Garamond" w:hAnsi="Garamond"/>
                <w:b/>
                <w:bCs/>
                <w:sz w:val="16"/>
                <w:szCs w:val="16"/>
                <w:lang w:eastAsia="es-CO"/>
              </w:rPr>
            </w:pPr>
            <w:r w:rsidRPr="00247B01">
              <w:rPr>
                <w:rFonts w:ascii="Garamond" w:hAnsi="Garamond"/>
                <w:b/>
                <w:bCs/>
                <w:sz w:val="16"/>
                <w:szCs w:val="16"/>
                <w:lang w:eastAsia="es-CO"/>
              </w:rPr>
              <w:t>$ 320.561.562.904</w:t>
            </w:r>
          </w:p>
        </w:tc>
        <w:tc>
          <w:tcPr>
            <w:tcW w:w="1041" w:type="dxa"/>
            <w:tcBorders>
              <w:top w:val="nil"/>
              <w:left w:val="single" w:sz="4" w:space="0" w:color="auto"/>
              <w:bottom w:val="single" w:sz="8" w:space="0" w:color="auto"/>
              <w:right w:val="nil"/>
            </w:tcBorders>
            <w:shd w:val="clear" w:color="000000" w:fill="DAE9F8"/>
            <w:noWrap/>
            <w:vAlign w:val="bottom"/>
            <w:hideMark/>
          </w:tcPr>
          <w:p w14:paraId="61C48CDC"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6018</w:t>
            </w:r>
          </w:p>
        </w:tc>
        <w:tc>
          <w:tcPr>
            <w:tcW w:w="1129" w:type="dxa"/>
            <w:tcBorders>
              <w:top w:val="nil"/>
              <w:left w:val="single" w:sz="4" w:space="0" w:color="auto"/>
              <w:bottom w:val="single" w:sz="8" w:space="0" w:color="auto"/>
              <w:right w:val="single" w:sz="8" w:space="0" w:color="auto"/>
            </w:tcBorders>
            <w:shd w:val="clear" w:color="000000" w:fill="DAE9F8"/>
            <w:noWrap/>
            <w:vAlign w:val="bottom"/>
            <w:hideMark/>
          </w:tcPr>
          <w:p w14:paraId="4C5CC699"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8964</w:t>
            </w:r>
          </w:p>
        </w:tc>
        <w:tc>
          <w:tcPr>
            <w:tcW w:w="1041" w:type="dxa"/>
            <w:tcBorders>
              <w:top w:val="nil"/>
              <w:left w:val="single" w:sz="4" w:space="0" w:color="auto"/>
              <w:bottom w:val="single" w:sz="8" w:space="0" w:color="auto"/>
              <w:right w:val="single" w:sz="8" w:space="0" w:color="auto"/>
            </w:tcBorders>
            <w:shd w:val="clear" w:color="000000" w:fill="DAE9F8"/>
            <w:noWrap/>
            <w:vAlign w:val="bottom"/>
            <w:hideMark/>
          </w:tcPr>
          <w:p w14:paraId="1E3BC8AE" w14:textId="77777777" w:rsidR="00247B01" w:rsidRPr="00247B01" w:rsidRDefault="00247B01" w:rsidP="00247B01">
            <w:pPr>
              <w:jc w:val="center"/>
              <w:rPr>
                <w:rFonts w:ascii="Garamond" w:hAnsi="Garamond"/>
                <w:b/>
                <w:bCs/>
                <w:color w:val="000000"/>
                <w:sz w:val="16"/>
                <w:szCs w:val="16"/>
                <w:lang w:eastAsia="es-CO"/>
              </w:rPr>
            </w:pPr>
            <w:r w:rsidRPr="00247B01">
              <w:rPr>
                <w:rFonts w:ascii="Garamond" w:hAnsi="Garamond"/>
                <w:b/>
                <w:bCs/>
                <w:color w:val="000000"/>
                <w:sz w:val="16"/>
                <w:szCs w:val="16"/>
                <w:lang w:eastAsia="es-CO"/>
              </w:rPr>
              <w:t>9708</w:t>
            </w:r>
          </w:p>
        </w:tc>
      </w:tr>
    </w:tbl>
    <w:p w14:paraId="58218DA3" w14:textId="5972A51A" w:rsidR="00E046BE" w:rsidRPr="00242377" w:rsidRDefault="00E046BE" w:rsidP="00242377">
      <w:pPr>
        <w:pStyle w:val="Standard"/>
        <w:autoSpaceDE w:val="0"/>
        <w:jc w:val="both"/>
        <w:rPr>
          <w:rFonts w:ascii="Garamond" w:hAnsi="Garamond" w:cs="Arial"/>
          <w:bCs/>
          <w:color w:val="000000"/>
          <w:sz w:val="24"/>
          <w:szCs w:val="24"/>
        </w:rPr>
      </w:pPr>
    </w:p>
    <w:p w14:paraId="0D549B30" w14:textId="0EB5BD3E" w:rsidR="00391DEE" w:rsidRPr="00391DEE" w:rsidRDefault="00B60D21" w:rsidP="00254162">
      <w:pPr>
        <w:jc w:val="both"/>
        <w:rPr>
          <w:rFonts w:ascii="Garamond" w:hAnsi="Garamond" w:cs="Arial"/>
          <w:bCs/>
          <w:color w:val="000000"/>
          <w:sz w:val="24"/>
          <w:szCs w:val="24"/>
        </w:rPr>
      </w:pPr>
      <w:r>
        <w:rPr>
          <w:rFonts w:ascii="Garamond" w:hAnsi="Garamond" w:cs="Arial"/>
          <w:bCs/>
          <w:color w:val="000000"/>
          <w:sz w:val="24"/>
          <w:szCs w:val="24"/>
        </w:rPr>
        <w:t xml:space="preserve">Entre tanto, </w:t>
      </w:r>
      <w:r w:rsidR="00391DEE" w:rsidRPr="00391DEE">
        <w:rPr>
          <w:rFonts w:ascii="Garamond" w:hAnsi="Garamond" w:cs="Arial"/>
          <w:bCs/>
          <w:color w:val="000000"/>
          <w:sz w:val="24"/>
          <w:szCs w:val="24"/>
        </w:rPr>
        <w:t>durante la vigencia 2021 se pactó un convenio interadministrativo (2267-2021) entre los Fondos de Desarrollo Local y la Secretaría de Educación del Distrito (SED) que ejecutó la primera versión del programa Jóvenes a la U. Para el caso puntual de Los Mártires se proyectó una meta de 20 jóvenes beneficiados con apoyo a educación superior en términos de acceso y, 87 estudiantes de programas de educación superior con apoyo de sostenimiento para permanencia; no obstante, para diciembre del 2021, la SED reportó 17 jóvenes beneficiados en acceso y 39 en permanencia, lo anterior, reflejando una tendencia en la demanda académica de jóvenes enfocada a programas profesionales. Así mismo, desde la SED, se realizó una segunda convocatoria en diciembre con el objetivo de ampliar el acceso a la educación superior de jóvenes en programas técnicos y tecnológicos y pregrados universitarios y de esta manera, contribuir con las proyecciones estipuladas según los recursos dispuestos por el Fondo de Desarrollo Local.</w:t>
      </w:r>
    </w:p>
    <w:p w14:paraId="01D22CB9" w14:textId="77777777" w:rsidR="00391DEE" w:rsidRPr="00391DEE" w:rsidRDefault="00391DEE" w:rsidP="00254162">
      <w:pPr>
        <w:jc w:val="both"/>
        <w:rPr>
          <w:rFonts w:ascii="Garamond" w:hAnsi="Garamond" w:cs="Arial"/>
          <w:bCs/>
          <w:color w:val="000000"/>
          <w:sz w:val="24"/>
          <w:szCs w:val="24"/>
        </w:rPr>
      </w:pPr>
    </w:p>
    <w:p w14:paraId="1BBFFF6D" w14:textId="3EA7A958" w:rsidR="00B12669" w:rsidRDefault="00391DEE" w:rsidP="00254162">
      <w:pPr>
        <w:jc w:val="both"/>
        <w:rPr>
          <w:rFonts w:ascii="Garamond" w:hAnsi="Garamond" w:cs="Arial"/>
          <w:bCs/>
          <w:color w:val="000000"/>
          <w:sz w:val="24"/>
          <w:szCs w:val="24"/>
        </w:rPr>
      </w:pPr>
      <w:r w:rsidRPr="00391DEE">
        <w:rPr>
          <w:rFonts w:ascii="Garamond" w:hAnsi="Garamond" w:cs="Arial"/>
          <w:bCs/>
          <w:color w:val="000000"/>
          <w:sz w:val="24"/>
          <w:szCs w:val="24"/>
        </w:rPr>
        <w:t xml:space="preserve">Para la vigencia 2022 se pactó el convenio </w:t>
      </w:r>
      <w:r w:rsidR="00B12669">
        <w:rPr>
          <w:rFonts w:ascii="Garamond" w:hAnsi="Garamond" w:cs="Arial"/>
          <w:bCs/>
          <w:color w:val="000000"/>
          <w:sz w:val="24"/>
          <w:szCs w:val="24"/>
        </w:rPr>
        <w:t>inter</w:t>
      </w:r>
      <w:r w:rsidRPr="00391DEE">
        <w:rPr>
          <w:rFonts w:ascii="Garamond" w:hAnsi="Garamond" w:cs="Arial"/>
          <w:bCs/>
          <w:color w:val="000000"/>
          <w:sz w:val="24"/>
          <w:szCs w:val="24"/>
        </w:rPr>
        <w:t>administrativo (125-2022),</w:t>
      </w:r>
      <w:r w:rsidR="00863D43">
        <w:rPr>
          <w:rFonts w:ascii="Garamond" w:hAnsi="Garamond" w:cs="Arial"/>
          <w:bCs/>
          <w:color w:val="000000"/>
          <w:sz w:val="24"/>
          <w:szCs w:val="24"/>
        </w:rPr>
        <w:t xml:space="preserve"> en Los Mártires se</w:t>
      </w:r>
      <w:commentRangeStart w:id="1"/>
      <w:r w:rsidRPr="00391DEE">
        <w:rPr>
          <w:rFonts w:ascii="Garamond" w:hAnsi="Garamond" w:cs="Arial"/>
          <w:bCs/>
          <w:color w:val="000000"/>
          <w:sz w:val="24"/>
          <w:szCs w:val="24"/>
        </w:rPr>
        <w:t xml:space="preserve"> proyectó beneficiar a 21 jóvenes con apoyo para el acceso a la educación superior y a 80 estudiantes de programas de educación superior con apoyo de sostenimiento para su permanencia. </w:t>
      </w:r>
      <w:commentRangeEnd w:id="1"/>
      <w:r w:rsidR="00863D43">
        <w:rPr>
          <w:rStyle w:val="Refdecomentario"/>
        </w:rPr>
        <w:commentReference w:id="1"/>
      </w:r>
    </w:p>
    <w:p w14:paraId="770A7618" w14:textId="57DB643C" w:rsidR="00391DEE" w:rsidRPr="00391DEE" w:rsidRDefault="00391DEE" w:rsidP="00254162">
      <w:pPr>
        <w:jc w:val="both"/>
        <w:rPr>
          <w:rFonts w:ascii="Garamond" w:hAnsi="Garamond" w:cs="Arial"/>
          <w:bCs/>
          <w:color w:val="000000"/>
          <w:sz w:val="24"/>
          <w:szCs w:val="24"/>
        </w:rPr>
      </w:pPr>
      <w:r w:rsidRPr="00391DEE">
        <w:rPr>
          <w:rFonts w:ascii="Garamond" w:hAnsi="Garamond" w:cs="Arial"/>
          <w:bCs/>
          <w:color w:val="000000"/>
          <w:sz w:val="24"/>
          <w:szCs w:val="24"/>
        </w:rPr>
        <w:lastRenderedPageBreak/>
        <w:t xml:space="preserve">Para la vigencia 2023, se pactó el convenio </w:t>
      </w:r>
      <w:r w:rsidR="00B12669">
        <w:rPr>
          <w:rFonts w:ascii="Garamond" w:hAnsi="Garamond" w:cs="Arial"/>
          <w:bCs/>
          <w:color w:val="000000"/>
          <w:sz w:val="24"/>
          <w:szCs w:val="24"/>
        </w:rPr>
        <w:t>inter</w:t>
      </w:r>
      <w:r w:rsidRPr="00391DEE">
        <w:rPr>
          <w:rFonts w:ascii="Garamond" w:hAnsi="Garamond" w:cs="Arial"/>
          <w:bCs/>
          <w:color w:val="000000"/>
          <w:sz w:val="24"/>
          <w:szCs w:val="24"/>
        </w:rPr>
        <w:t>administrativo (134-2023), con la meta de beneficiar a 23 jóvenes con apoyo para el acceso a la educación superior y a 85 estudiantes de programas de educación superior con apoyo de sostenimiento para su permanencia</w:t>
      </w:r>
      <w:r w:rsidR="00863D43">
        <w:rPr>
          <w:rFonts w:ascii="Garamond" w:hAnsi="Garamond" w:cs="Arial"/>
          <w:bCs/>
          <w:color w:val="000000"/>
          <w:sz w:val="24"/>
          <w:szCs w:val="24"/>
        </w:rPr>
        <w:t>, dando cumplimiento a la meta del plan de desarrollo local.</w:t>
      </w:r>
    </w:p>
    <w:p w14:paraId="67615C19" w14:textId="77777777" w:rsidR="00391DEE" w:rsidRPr="00391DEE" w:rsidRDefault="00391DEE" w:rsidP="00254162">
      <w:pPr>
        <w:jc w:val="both"/>
        <w:rPr>
          <w:rFonts w:ascii="Garamond" w:hAnsi="Garamond" w:cs="Arial"/>
          <w:bCs/>
          <w:color w:val="000000"/>
          <w:sz w:val="24"/>
          <w:szCs w:val="24"/>
        </w:rPr>
      </w:pPr>
    </w:p>
    <w:p w14:paraId="731C14D7" w14:textId="4CDA6988" w:rsidR="00E1303A" w:rsidRDefault="00391DEE" w:rsidP="00254162">
      <w:pPr>
        <w:jc w:val="both"/>
        <w:rPr>
          <w:rFonts w:ascii="Garamond" w:hAnsi="Garamond" w:cs="Arial"/>
          <w:bCs/>
          <w:color w:val="000000"/>
          <w:sz w:val="24"/>
          <w:szCs w:val="24"/>
        </w:rPr>
      </w:pPr>
      <w:r w:rsidRPr="00391DEE">
        <w:rPr>
          <w:rFonts w:ascii="Garamond" w:hAnsi="Garamond" w:cs="Arial"/>
          <w:bCs/>
          <w:color w:val="000000"/>
          <w:sz w:val="24"/>
          <w:szCs w:val="24"/>
        </w:rPr>
        <w:t>Para la vigencia 2024,</w:t>
      </w:r>
      <w:r w:rsidR="00863D43">
        <w:rPr>
          <w:rFonts w:ascii="Garamond" w:hAnsi="Garamond" w:cs="Arial"/>
          <w:bCs/>
          <w:color w:val="000000"/>
          <w:sz w:val="24"/>
          <w:szCs w:val="24"/>
        </w:rPr>
        <w:t xml:space="preserve"> en la localidad</w:t>
      </w:r>
      <w:r w:rsidRPr="00391DEE">
        <w:rPr>
          <w:rFonts w:ascii="Garamond" w:hAnsi="Garamond" w:cs="Arial"/>
          <w:bCs/>
          <w:color w:val="000000"/>
          <w:sz w:val="24"/>
          <w:szCs w:val="24"/>
        </w:rPr>
        <w:t xml:space="preserve"> se acordó el convenio interadministrativo FDLM-188-2024 (118145), con el objetivo de beneficiar a 15 jóvenes con apoyo al acceso a la educación superior y a 92 jóvenes mediante el apoyo al sostenimiento para su permanencia en la educación superior</w:t>
      </w:r>
      <w:r w:rsidR="00863D43">
        <w:rPr>
          <w:rFonts w:ascii="Garamond" w:hAnsi="Garamond" w:cs="Arial"/>
          <w:bCs/>
          <w:color w:val="000000"/>
          <w:sz w:val="24"/>
          <w:szCs w:val="24"/>
        </w:rPr>
        <w:t>, el cual se encuentra en ejecución.</w:t>
      </w:r>
    </w:p>
    <w:p w14:paraId="40F133EE" w14:textId="77777777" w:rsidR="00863D43" w:rsidRDefault="00863D43" w:rsidP="00254162">
      <w:pPr>
        <w:jc w:val="both"/>
        <w:rPr>
          <w:rFonts w:ascii="Garamond" w:hAnsi="Garamond" w:cs="Arial"/>
          <w:bCs/>
          <w:color w:val="000000"/>
          <w:sz w:val="24"/>
          <w:szCs w:val="24"/>
        </w:rPr>
      </w:pPr>
    </w:p>
    <w:p w14:paraId="4AB78D65" w14:textId="0AEE5B65" w:rsidR="00863D43" w:rsidRPr="00391DEE" w:rsidRDefault="00863D43" w:rsidP="00254162">
      <w:pPr>
        <w:jc w:val="both"/>
        <w:rPr>
          <w:rFonts w:ascii="Garamond" w:hAnsi="Garamond" w:cs="Arial"/>
          <w:b/>
          <w:bCs/>
          <w:color w:val="000000"/>
          <w:sz w:val="24"/>
          <w:szCs w:val="24"/>
        </w:rPr>
      </w:pPr>
      <w:commentRangeStart w:id="2"/>
      <w:r>
        <w:rPr>
          <w:rFonts w:ascii="Garamond" w:hAnsi="Garamond" w:cs="Arial"/>
          <w:bCs/>
          <w:color w:val="000000"/>
          <w:sz w:val="24"/>
          <w:szCs w:val="24"/>
        </w:rPr>
        <w:t>En definitiva, en la localidad se han beneficiado XXXX con apoyo a</w:t>
      </w:r>
      <w:commentRangeEnd w:id="2"/>
      <w:r>
        <w:rPr>
          <w:rStyle w:val="Refdecomentario"/>
        </w:rPr>
        <w:commentReference w:id="2"/>
      </w:r>
    </w:p>
    <w:p w14:paraId="6215A3BB" w14:textId="77777777" w:rsidR="00E1303A" w:rsidRPr="006B6187" w:rsidRDefault="00E1303A" w:rsidP="006B6187">
      <w:pPr>
        <w:jc w:val="both"/>
        <w:rPr>
          <w:rFonts w:ascii="Garamond" w:hAnsi="Garamond" w:cs="Arial"/>
          <w:bCs/>
          <w:color w:val="000000"/>
          <w:sz w:val="24"/>
          <w:szCs w:val="24"/>
        </w:rPr>
      </w:pPr>
    </w:p>
    <w:p w14:paraId="043FB221" w14:textId="6687E412" w:rsidR="00CD5ED6" w:rsidRPr="0017110D" w:rsidRDefault="000C6C66" w:rsidP="009F42EA">
      <w:pPr>
        <w:pStyle w:val="Prrafodelista"/>
        <w:numPr>
          <w:ilvl w:val="0"/>
          <w:numId w:val="5"/>
        </w:numPr>
        <w:jc w:val="both"/>
        <w:rPr>
          <w:rFonts w:ascii="Garamond" w:hAnsi="Garamond" w:cs="Arial"/>
          <w:sz w:val="24"/>
          <w:szCs w:val="24"/>
        </w:rPr>
      </w:pPr>
      <w:r w:rsidRPr="0017110D">
        <w:rPr>
          <w:rFonts w:ascii="Garamond" w:hAnsi="Garamond" w:cs="Arial"/>
          <w:b/>
          <w:bCs/>
          <w:sz w:val="24"/>
          <w:szCs w:val="24"/>
        </w:rPr>
        <w:t>La educación y su marco normativo</w:t>
      </w:r>
    </w:p>
    <w:p w14:paraId="31F8D2C7" w14:textId="1B04009D" w:rsidR="00F861AA" w:rsidRDefault="00F861AA" w:rsidP="00F861AA">
      <w:pPr>
        <w:jc w:val="both"/>
        <w:rPr>
          <w:rFonts w:ascii="Garamond" w:hAnsi="Garamond" w:cs="Arial"/>
          <w:sz w:val="24"/>
          <w:szCs w:val="24"/>
        </w:rPr>
      </w:pPr>
      <w:r w:rsidRPr="00F861AA">
        <w:rPr>
          <w:rFonts w:ascii="Garamond" w:hAnsi="Garamond" w:cs="Arial"/>
          <w:sz w:val="24"/>
          <w:szCs w:val="24"/>
        </w:rPr>
        <w:t xml:space="preserve">La Declaración Universal de Derechos Humanos proclamada en 1948, como un instrumento del derecho internacional, sustantivo de los derechos civiles, políticos, sociales, económicos y culturales, reconoce, en su artículo 26, el derecho que tienen todas las personas a la educación, la cual, tendrá por objeto el pleno desarrollo de la personalidad humana y el fortalecimiento del respeto a los derechos humanos y a las libertades fundamentales. Esta concepción se reafirma en otros instrumentos internacionales como el Pacto Internacional de los Derechos Económicos, Sociales y Culturales de 1966, que en su artículo 13 establece, adicionalmente, el compromiso de los Estados a promover el acceso a la educación superior en condiciones de acceso igualitarias para todos, con miras a la implementación progresiva de la enseñanza gratuita. Por su parte, la Convención sobre los Derechos del Niño de 1989, en sus artículos 28 y 29 se establece el derecho de los niños y niñas a acceder a los servicios de educación encaminada a desarrollar su personalidad, sus aptitudes y su capacidad mental y física, e inculcar el respeto de los derechos humanos y las libertades fundamentales de los seres humanos. </w:t>
      </w:r>
    </w:p>
    <w:p w14:paraId="03983E43" w14:textId="77777777" w:rsidR="00F861AA" w:rsidRPr="00F861AA" w:rsidRDefault="00F861AA" w:rsidP="00F861AA">
      <w:pPr>
        <w:jc w:val="both"/>
        <w:rPr>
          <w:rFonts w:ascii="Garamond" w:hAnsi="Garamond" w:cs="Arial"/>
          <w:sz w:val="24"/>
          <w:szCs w:val="24"/>
        </w:rPr>
      </w:pPr>
    </w:p>
    <w:p w14:paraId="31BAF83B"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Así, entre otros, la Convención Internacional sobre la Eliminación de todas las Formas de Discriminación Racial de 1965 consagra el derecho a la educación y la formación profesional (art. 5); la Convención sobre la Eliminación de todas las Formas de Discriminación contra la Mujer de 1979 insta a los Estados a equiparar las condiciones de acceso a la educación entre hombres y mujeres en todos los niveles de formación (art. 10); el Convenio Nº 111 de la Organización Internacional del Trabajo (OIT) sobre la discriminación (empleo y ocupación) de 1958 hace un llamado a garantizar igualdad de oportunidades y de trato en lo relativo al acceso a la formación profesional (art. 3); el Convenio Nº 117 de la OIT sobre política social (normas y objetivos básicos) de 1962 insiste en la necesidad de desarrollar progresivamente un amplio sistema de educación, formación profesional y aprendizaje; la Convención relativa a la Lucha contra las Discriminaciones en la Esfera de la Enseñanza </w:t>
      </w:r>
      <w:r w:rsidRPr="00F861AA">
        <w:rPr>
          <w:rFonts w:ascii="Garamond" w:hAnsi="Garamond" w:cs="Arial"/>
          <w:sz w:val="24"/>
          <w:szCs w:val="24"/>
        </w:rPr>
        <w:lastRenderedPageBreak/>
        <w:t xml:space="preserve">de 1960, en virtud de la cual, los Estados se comprometen a adoptar medidas orientadas a eliminar cualquier tipo de discriminación en torno a la enseñanza (art. 3); y en la Declaración Mundial sobre Educación para Todos promulgada por la UNESCO en 1990 se establece la importancia de universalizar el acceso a la educación y ampliar los medios y el alcance de la misma en condiciones de equidad; prestar atención prioritaria al aprendizaje, mejorar el ambiente para la enseñanza y fortalecer la concertación de acciones. </w:t>
      </w:r>
    </w:p>
    <w:p w14:paraId="6CD1C466" w14:textId="77777777" w:rsidR="00F861AA" w:rsidRPr="00F861AA" w:rsidRDefault="00F861AA" w:rsidP="00F861AA">
      <w:pPr>
        <w:jc w:val="both"/>
        <w:rPr>
          <w:rFonts w:ascii="Garamond" w:hAnsi="Garamond" w:cs="Arial"/>
          <w:sz w:val="24"/>
          <w:szCs w:val="24"/>
        </w:rPr>
      </w:pPr>
    </w:p>
    <w:p w14:paraId="46687C82" w14:textId="045BE981" w:rsidR="00F861AA" w:rsidRDefault="00F861AA" w:rsidP="00F861AA">
      <w:pPr>
        <w:jc w:val="both"/>
        <w:rPr>
          <w:rFonts w:ascii="Garamond" w:hAnsi="Garamond" w:cs="Arial"/>
          <w:sz w:val="24"/>
          <w:szCs w:val="24"/>
        </w:rPr>
      </w:pPr>
      <w:r w:rsidRPr="00F861AA">
        <w:rPr>
          <w:rFonts w:ascii="Garamond" w:hAnsi="Garamond" w:cs="Arial"/>
          <w:sz w:val="24"/>
          <w:szCs w:val="24"/>
        </w:rPr>
        <w:t>Estos instrumentos Internacionales detallan el alcance de la educación como derecho humano, determinan su papel particular como dimensión que influye en el disfrute de otros derechos y libertades fundamentales, y destacan su importancia como herramienta que permite la materialización de la equidad y el desarrollo.</w:t>
      </w:r>
    </w:p>
    <w:p w14:paraId="55199EF4" w14:textId="77777777" w:rsidR="00D54BCC" w:rsidRPr="00F861AA" w:rsidRDefault="00D54BCC" w:rsidP="00F861AA">
      <w:pPr>
        <w:jc w:val="both"/>
        <w:rPr>
          <w:rFonts w:ascii="Garamond" w:hAnsi="Garamond" w:cs="Arial"/>
          <w:sz w:val="24"/>
          <w:szCs w:val="24"/>
        </w:rPr>
      </w:pPr>
    </w:p>
    <w:p w14:paraId="317D6005" w14:textId="341B30B4" w:rsidR="00F861AA" w:rsidRDefault="00F861AA" w:rsidP="00F861AA">
      <w:pPr>
        <w:jc w:val="both"/>
        <w:rPr>
          <w:rFonts w:ascii="Garamond" w:hAnsi="Garamond" w:cs="Arial"/>
          <w:sz w:val="24"/>
          <w:szCs w:val="24"/>
        </w:rPr>
      </w:pPr>
      <w:r w:rsidRPr="00F861AA">
        <w:rPr>
          <w:rFonts w:ascii="Garamond" w:hAnsi="Garamond" w:cs="Arial"/>
          <w:sz w:val="24"/>
          <w:szCs w:val="24"/>
        </w:rPr>
        <w:t xml:space="preserve">A su turno, los Objetivos de Desarrollo Sostenible de la Organización de las Naciones Unidas (ONU), acordados en 2015 como parte de la agenda a 2030, establecen un conjunto de propósitos mundiales encaminados, entre otros, a lograr una educación de calidad con el fin de garantizar una educación inclusiva, equitativa y de calidad y promover oportunidades de aprendizaje para todos, proporcionando igualdad de acceso a una formación profesional asequible, de cara a la universalización de la educación superior. En tal sentido, este objetivo plantea, dentro de sus metas a 2030: a) el aseguramiento igualitario del acceso de todas las personas a una formación técnica, profesional y superior de calidad, b) el aumento de jóvenes y adultos que cuentan con las competencias necesarias para acceder al empleo, c) eliminar las desigualdades relacionadas con el género, la pertenencia étnica, las condiciones de discapacidad o vulnerabilidad. La materialización de estas metas permitirá, a su vez, la concreción de otros objetivos como el fin de la pobreza, la igualdad de género, a reducción de las desigualdades y la promoción de sociedades más pacíficas. </w:t>
      </w:r>
    </w:p>
    <w:p w14:paraId="12282CC1" w14:textId="77777777" w:rsidR="00D54BCC" w:rsidRPr="00F861AA" w:rsidRDefault="00D54BCC" w:rsidP="00F861AA">
      <w:pPr>
        <w:jc w:val="both"/>
        <w:rPr>
          <w:rFonts w:ascii="Garamond" w:hAnsi="Garamond" w:cs="Arial"/>
          <w:sz w:val="24"/>
          <w:szCs w:val="24"/>
        </w:rPr>
      </w:pPr>
    </w:p>
    <w:p w14:paraId="31D95CA9" w14:textId="764D8B13" w:rsidR="00F861AA" w:rsidRDefault="00F861AA" w:rsidP="00F861AA">
      <w:pPr>
        <w:jc w:val="both"/>
        <w:rPr>
          <w:rFonts w:ascii="Garamond" w:hAnsi="Garamond" w:cs="Arial"/>
          <w:sz w:val="24"/>
          <w:szCs w:val="24"/>
        </w:rPr>
      </w:pPr>
      <w:r w:rsidRPr="00F861AA">
        <w:rPr>
          <w:rFonts w:ascii="Garamond" w:hAnsi="Garamond" w:cs="Arial"/>
          <w:sz w:val="24"/>
          <w:szCs w:val="24"/>
        </w:rPr>
        <w:t xml:space="preserve">Así, la consecución de estos objetivos parte de la prospectiva que los estados planteen en sus políticas, planes y programas de desarrollo, entre los cuales se debe concebir el acceso a servicios esenciales, y particularmente, a la educación en todos sus niveles. </w:t>
      </w:r>
    </w:p>
    <w:p w14:paraId="17DD4467" w14:textId="77777777" w:rsidR="00D54BCC" w:rsidRPr="00F861AA" w:rsidRDefault="00D54BCC" w:rsidP="00F861AA">
      <w:pPr>
        <w:jc w:val="both"/>
        <w:rPr>
          <w:rFonts w:ascii="Garamond" w:hAnsi="Garamond" w:cs="Arial"/>
          <w:sz w:val="24"/>
          <w:szCs w:val="24"/>
        </w:rPr>
      </w:pPr>
    </w:p>
    <w:p w14:paraId="7AC485C0" w14:textId="58990351" w:rsidR="00F861AA" w:rsidRDefault="00F861AA" w:rsidP="00F861AA">
      <w:pPr>
        <w:jc w:val="both"/>
        <w:rPr>
          <w:rFonts w:ascii="Garamond" w:hAnsi="Garamond" w:cs="Arial"/>
          <w:sz w:val="24"/>
          <w:szCs w:val="24"/>
        </w:rPr>
      </w:pPr>
      <w:r w:rsidRPr="00F861AA">
        <w:rPr>
          <w:rFonts w:ascii="Garamond" w:hAnsi="Garamond" w:cs="Arial"/>
          <w:sz w:val="24"/>
          <w:szCs w:val="24"/>
        </w:rPr>
        <w:t>Lo anterior, atendiendo a la amplia literatura y evidencia económica y social sobre los beneficios que tiene la educación en una sociedad y en los individuos de esta, toda vez que, la educación se constituye en un elemento determinante para la generación de oportunidades laborales y de ingresos (Mincer 1958), traducido esto, en el crecimiento y desarrollo económico de las naciones y su consecuente impacto en las tasas de pobreza, desigualdad, salud, criminalidad, justicia y paz social.</w:t>
      </w:r>
    </w:p>
    <w:p w14:paraId="01211581" w14:textId="77777777" w:rsidR="00D54BCC" w:rsidRPr="00F861AA" w:rsidRDefault="00D54BCC" w:rsidP="00F861AA">
      <w:pPr>
        <w:jc w:val="both"/>
        <w:rPr>
          <w:rFonts w:ascii="Garamond" w:hAnsi="Garamond" w:cs="Arial"/>
          <w:sz w:val="24"/>
          <w:szCs w:val="24"/>
        </w:rPr>
      </w:pPr>
    </w:p>
    <w:p w14:paraId="604C0618" w14:textId="51A5BE69" w:rsidR="00F861AA" w:rsidRDefault="00F861AA" w:rsidP="00F861AA">
      <w:pPr>
        <w:jc w:val="both"/>
        <w:rPr>
          <w:rFonts w:ascii="Garamond" w:hAnsi="Garamond" w:cs="Arial"/>
          <w:sz w:val="24"/>
          <w:szCs w:val="24"/>
        </w:rPr>
      </w:pPr>
      <w:r w:rsidRPr="00F861AA">
        <w:rPr>
          <w:rFonts w:ascii="Garamond" w:hAnsi="Garamond" w:cs="Arial"/>
          <w:sz w:val="24"/>
          <w:szCs w:val="24"/>
        </w:rPr>
        <w:t xml:space="preserve">En Colombia, el artículo 67 de la Constitución Política dispone que: </w:t>
      </w:r>
    </w:p>
    <w:p w14:paraId="5E86A712" w14:textId="77777777" w:rsidR="009C43AD" w:rsidRPr="00F861AA" w:rsidRDefault="009C43AD" w:rsidP="00F861AA">
      <w:pPr>
        <w:jc w:val="both"/>
        <w:rPr>
          <w:rFonts w:ascii="Garamond" w:hAnsi="Garamond" w:cs="Arial"/>
          <w:sz w:val="24"/>
          <w:szCs w:val="24"/>
        </w:rPr>
      </w:pPr>
    </w:p>
    <w:p w14:paraId="5F929D8F"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lastRenderedPageBreak/>
        <w:t xml:space="preserve">“La educación es un derecho de la persona y un servicio público que tiene una función social; con ella se busca el acceso al conocimiento, a la ciencia, a la técnica, y a los demás bienes y valores de la cultura. </w:t>
      </w:r>
    </w:p>
    <w:p w14:paraId="16B364CC" w14:textId="24675671" w:rsidR="00F861AA" w:rsidRDefault="00F861AA" w:rsidP="00F861AA">
      <w:pPr>
        <w:jc w:val="both"/>
        <w:rPr>
          <w:rFonts w:ascii="Garamond" w:hAnsi="Garamond" w:cs="Arial"/>
          <w:sz w:val="24"/>
          <w:szCs w:val="24"/>
        </w:rPr>
      </w:pPr>
      <w:r w:rsidRPr="00F861AA">
        <w:rPr>
          <w:rFonts w:ascii="Garamond" w:hAnsi="Garamond" w:cs="Arial"/>
          <w:sz w:val="24"/>
          <w:szCs w:val="24"/>
        </w:rPr>
        <w:t xml:space="preserve">La educación formará al colombiano en el respeto a los derechos humanos, a la paz y a la democracia; y en la práctica del trabajo y la recreación, para el mejoramiento cultural, científico, tecnológico y para la protección del ambiente. </w:t>
      </w:r>
    </w:p>
    <w:p w14:paraId="2B6BFF66" w14:textId="77777777" w:rsidR="009C43AD" w:rsidRPr="00F861AA" w:rsidRDefault="009C43AD" w:rsidP="00F861AA">
      <w:pPr>
        <w:jc w:val="both"/>
        <w:rPr>
          <w:rFonts w:ascii="Garamond" w:hAnsi="Garamond" w:cs="Arial"/>
          <w:sz w:val="24"/>
          <w:szCs w:val="24"/>
        </w:rPr>
      </w:pPr>
    </w:p>
    <w:p w14:paraId="7B2EA485"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El Estado, la sociedad y la familia son responsables de la educación, que será obligatoria entre los cinco y los quince años y que comprenderá como mínimo, un año de preescolar y nueve de educación básica. </w:t>
      </w:r>
    </w:p>
    <w:p w14:paraId="476A8E48" w14:textId="3A61C439" w:rsidR="00F861AA" w:rsidRDefault="00F861AA" w:rsidP="00F861AA">
      <w:pPr>
        <w:jc w:val="both"/>
        <w:rPr>
          <w:rFonts w:ascii="Garamond" w:hAnsi="Garamond" w:cs="Arial"/>
          <w:sz w:val="24"/>
          <w:szCs w:val="24"/>
        </w:rPr>
      </w:pPr>
      <w:r w:rsidRPr="00F861AA">
        <w:rPr>
          <w:rFonts w:ascii="Garamond" w:hAnsi="Garamond" w:cs="Arial"/>
          <w:sz w:val="24"/>
          <w:szCs w:val="24"/>
        </w:rPr>
        <w:t xml:space="preserve">La educación será gratuita en las instituciones del Estado, sin perjuicio del cobro de derechos académicos a quienes puedan sufragarlos. </w:t>
      </w:r>
    </w:p>
    <w:p w14:paraId="53B18FDA" w14:textId="77777777" w:rsidR="009C43AD" w:rsidRPr="00F861AA" w:rsidRDefault="009C43AD" w:rsidP="00F861AA">
      <w:pPr>
        <w:jc w:val="both"/>
        <w:rPr>
          <w:rFonts w:ascii="Garamond" w:hAnsi="Garamond" w:cs="Arial"/>
          <w:sz w:val="24"/>
          <w:szCs w:val="24"/>
        </w:rPr>
      </w:pPr>
    </w:p>
    <w:p w14:paraId="5DE145AF" w14:textId="01D42DAC" w:rsidR="00F861AA" w:rsidRDefault="00F861AA" w:rsidP="00F861AA">
      <w:pPr>
        <w:jc w:val="both"/>
        <w:rPr>
          <w:rFonts w:ascii="Garamond" w:hAnsi="Garamond" w:cs="Arial"/>
          <w:sz w:val="24"/>
          <w:szCs w:val="24"/>
        </w:rPr>
      </w:pPr>
      <w:r w:rsidRPr="00F861AA">
        <w:rPr>
          <w:rFonts w:ascii="Garamond" w:hAnsi="Garamond" w:cs="Arial"/>
          <w:sz w:val="24"/>
          <w:szCs w:val="24"/>
        </w:rPr>
        <w:t xml:space="preserve">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w:t>
      </w:r>
    </w:p>
    <w:p w14:paraId="43E8E1B9" w14:textId="77777777" w:rsidR="009C43AD" w:rsidRPr="00F861AA" w:rsidRDefault="009C43AD" w:rsidP="00F861AA">
      <w:pPr>
        <w:jc w:val="both"/>
        <w:rPr>
          <w:rFonts w:ascii="Garamond" w:hAnsi="Garamond" w:cs="Arial"/>
          <w:sz w:val="24"/>
          <w:szCs w:val="24"/>
        </w:rPr>
      </w:pPr>
    </w:p>
    <w:p w14:paraId="263B2923" w14:textId="3D633C1B" w:rsidR="00F861AA" w:rsidRDefault="00F861AA" w:rsidP="00F861AA">
      <w:pPr>
        <w:jc w:val="both"/>
        <w:rPr>
          <w:rFonts w:ascii="Garamond" w:hAnsi="Garamond" w:cs="Arial"/>
          <w:sz w:val="24"/>
          <w:szCs w:val="24"/>
        </w:rPr>
      </w:pPr>
      <w:r w:rsidRPr="00F861AA">
        <w:rPr>
          <w:rFonts w:ascii="Garamond" w:hAnsi="Garamond" w:cs="Arial"/>
          <w:sz w:val="24"/>
          <w:szCs w:val="24"/>
        </w:rPr>
        <w:t>La Nación y las entidades territoriales participarán en la dirección, financiación y administración de los servicios educativos estatales, en los términos que señalen la Constitución y la ley”.</w:t>
      </w:r>
    </w:p>
    <w:p w14:paraId="2305A9EF" w14:textId="77777777" w:rsidR="009C43AD" w:rsidRPr="00F861AA" w:rsidRDefault="009C43AD" w:rsidP="00F861AA">
      <w:pPr>
        <w:jc w:val="both"/>
        <w:rPr>
          <w:rFonts w:ascii="Garamond" w:hAnsi="Garamond" w:cs="Arial"/>
          <w:sz w:val="24"/>
          <w:szCs w:val="24"/>
        </w:rPr>
      </w:pPr>
    </w:p>
    <w:p w14:paraId="46A5E008" w14:textId="03F970F8" w:rsidR="00F861AA" w:rsidRDefault="00F861AA" w:rsidP="00F861AA">
      <w:pPr>
        <w:jc w:val="both"/>
        <w:rPr>
          <w:rFonts w:ascii="Garamond" w:hAnsi="Garamond" w:cs="Arial"/>
          <w:sz w:val="24"/>
          <w:szCs w:val="24"/>
        </w:rPr>
      </w:pPr>
      <w:r w:rsidRPr="00F861AA">
        <w:rPr>
          <w:rFonts w:ascii="Garamond" w:hAnsi="Garamond" w:cs="Arial"/>
          <w:sz w:val="24"/>
          <w:szCs w:val="24"/>
        </w:rPr>
        <w:t>Del desarrollo normativo de la Constitución, la Ley 115 de 1994, “Por la cual se expide la Ley General de Educación”, reconoce que “la educación es un proceso de formación permanente, personal, cultural y social que se fundamenta en una concepción integral de la persona humana, de su dignidad, de sus derechos y de sus deberes”. En tal sentido, determina en su artículo 4 la obligación del Estado de velar por la calidad de la educación y promover el acceso al servicio público educativo, cuya cobertura es responsabilidad de la Nación y de las entidades territoriales, de modo tal que los diferentes niveles de la educación, siendo estos, la educación preescolar, la básica (primaria y secundaria) y la media, la educación no formal e informal y la educación superior sea dirigida a todos los grupos poblacionales, especialmente a los jóvenes, así como a las poblaciones en condiciones de vulnerabilidad.</w:t>
      </w:r>
    </w:p>
    <w:p w14:paraId="136F8F25" w14:textId="77777777" w:rsidR="009C43AD" w:rsidRPr="00F861AA" w:rsidRDefault="009C43AD" w:rsidP="00F861AA">
      <w:pPr>
        <w:jc w:val="both"/>
        <w:rPr>
          <w:rFonts w:ascii="Garamond" w:hAnsi="Garamond" w:cs="Arial"/>
          <w:sz w:val="24"/>
          <w:szCs w:val="24"/>
        </w:rPr>
      </w:pPr>
    </w:p>
    <w:p w14:paraId="64907536" w14:textId="4C982681" w:rsidR="00F861AA" w:rsidRDefault="00F861AA" w:rsidP="00F861AA">
      <w:pPr>
        <w:jc w:val="both"/>
        <w:rPr>
          <w:rFonts w:ascii="Garamond" w:hAnsi="Garamond" w:cs="Arial"/>
          <w:sz w:val="24"/>
          <w:szCs w:val="24"/>
        </w:rPr>
      </w:pPr>
      <w:r w:rsidRPr="00F861AA">
        <w:rPr>
          <w:rFonts w:ascii="Garamond" w:hAnsi="Garamond" w:cs="Arial"/>
          <w:sz w:val="24"/>
          <w:szCs w:val="24"/>
        </w:rPr>
        <w:t>Resalta esta Ley en el artículo 2, que el servicio educativo “comprende el conjunto de normas jurídicas, los programas curriculares, la educación por niveles y grados, la educación no formal, la educación informal, los establecimientos educativos, las instituciones sociales (estatales o privadas) con funciones educativas, culturales y recreativas, los recursos humanos, tecnológicos, metodológicos, materiales, administrativos y financieros articulados en procesos y estructuras para alcanzar los objetivos de la educación”. Y señala que este servicio educativo será prestado por instituciones estatales y por aquellas de carácter privado, comunitario solidario, cooperativo o sin ánimo de lucro.</w:t>
      </w:r>
    </w:p>
    <w:p w14:paraId="0409F2BE" w14:textId="77777777" w:rsidR="00D54BCC" w:rsidRPr="00F861AA" w:rsidRDefault="00D54BCC" w:rsidP="00F861AA">
      <w:pPr>
        <w:jc w:val="both"/>
        <w:rPr>
          <w:rFonts w:ascii="Garamond" w:hAnsi="Garamond" w:cs="Arial"/>
          <w:sz w:val="24"/>
          <w:szCs w:val="24"/>
        </w:rPr>
      </w:pPr>
    </w:p>
    <w:p w14:paraId="14ED7E73" w14:textId="440E5C66" w:rsidR="00F861AA" w:rsidRDefault="00F861AA" w:rsidP="00F861AA">
      <w:pPr>
        <w:jc w:val="both"/>
        <w:rPr>
          <w:rFonts w:ascii="Garamond" w:hAnsi="Garamond" w:cs="Arial"/>
          <w:sz w:val="24"/>
          <w:szCs w:val="24"/>
        </w:rPr>
      </w:pPr>
      <w:r w:rsidRPr="00F861AA">
        <w:rPr>
          <w:rFonts w:ascii="Garamond" w:hAnsi="Garamond" w:cs="Arial"/>
          <w:sz w:val="24"/>
          <w:szCs w:val="24"/>
        </w:rPr>
        <w:t>Adicionalmente, la Ley 115 de 1994 señala como fines de la educación, entre otros:</w:t>
      </w:r>
    </w:p>
    <w:p w14:paraId="75FB97A8" w14:textId="77777777" w:rsidR="00D54BCC" w:rsidRPr="00F861AA" w:rsidRDefault="00D54BCC" w:rsidP="00F861AA">
      <w:pPr>
        <w:jc w:val="both"/>
        <w:rPr>
          <w:rFonts w:ascii="Garamond" w:hAnsi="Garamond" w:cs="Arial"/>
          <w:sz w:val="24"/>
          <w:szCs w:val="24"/>
        </w:rPr>
      </w:pPr>
    </w:p>
    <w:p w14:paraId="7618AF7B"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“1. El pleno desarrollo de la personalidad (...) dentro de un proceso de formación integral, física, psíquica, intelectual, moral, espiritual, social, afectiva, ética, cívica y demás es humanos. </w:t>
      </w:r>
    </w:p>
    <w:p w14:paraId="2C10FA3F"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3. La formación para facilitar la participación de todos en las decisiones que los afectan en la vida económica, política, administrativa y cultural de la Nación. </w:t>
      </w:r>
    </w:p>
    <w:p w14:paraId="225D0068"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5. La adquisición y generación de los conocimientos científicos y técnicos más avanzados, humanísticos, históricos, sociales, geográficos y estéticos, mediante la apropiación de hábitos intelectuales adecuados para el desarrollo del saber. </w:t>
      </w:r>
    </w:p>
    <w:p w14:paraId="64E54E20"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7. El acceso al conocimiento, la ciencia, la técnica y demás bienes y valores de la cultura, el fomento de la investigación y el estímulo a la creación artística en sus diferentes manifestaciones. </w:t>
      </w:r>
    </w:p>
    <w:p w14:paraId="4BF3123E"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9. El desarrollo de la capacidad crítica, reflexiva y analítica que fortalezca el avance científico y tecnológico nacional, orientado con prioridad al mejoramiento cultural y de la calidad de la vida de la población, a la participación en la búsqueda de alternativas de solución a los problemas y al progreso social y económico del país. </w:t>
      </w:r>
    </w:p>
    <w:p w14:paraId="470FAE96"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10. La adquisición de una conciencia para la conservación, protección y mejoramiento del medio ambiente, de la calidad de la vida, del uso racional de los recursos naturales, de la prevención de desastres, dentro de una cultura ecológica y del riesgo y la defensa del patrimonio cultural de la Nación. </w:t>
      </w:r>
    </w:p>
    <w:p w14:paraId="3FA99712"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11. La formación en la práctica del trabajo, mediante los conocimientos técnicos y habilidades, así como en la valoración del mismo como fundamento del desarrollo individual y social. </w:t>
      </w:r>
    </w:p>
    <w:p w14:paraId="68155A90"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13. La promoción en la persona y en la sociedad de la capacidad para crear, investigar, adoptar la tecnología que se requiere en los procesos de desarrollo del país y le permita al educando ingresar al sector productivo.”</w:t>
      </w:r>
    </w:p>
    <w:p w14:paraId="16403C07"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Aunado a lo anterior, la Ley 30 de 1992, “Por medio de la cual se organiza el servicio público de la educación superior” en su artículo 6° concibe como objetivos de la educación superior y de sus instituciones, entre otros, los siguientes:</w:t>
      </w:r>
    </w:p>
    <w:p w14:paraId="394B99BB"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“a. Profundizar en la formación integral de los colombianos, dentro de las modalidades y calidades de la educación superior, capacitándolos para cumplir las funciones profesionales, investigativas y de servicio social que requiere el país</w:t>
      </w:r>
    </w:p>
    <w:p w14:paraId="245575D3"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b. Trabajar por la creación, el desarrollo y la transmisión del conocimiento en todas sus formas y expresiones y, promover su utilización en todos los campos para solucionar las necesidades del país. </w:t>
      </w:r>
    </w:p>
    <w:p w14:paraId="7D95DFCA"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c. Prestar a la comunidad un servicio con calidad, el cual hace referencia a los resultados académicos, a los medios y procesos empleados, a la infraestructura institucional, a las dimensiones cualitativas y cuantitativas del mismo y a las condiciones en que se desarrolla cada institución.</w:t>
      </w:r>
    </w:p>
    <w:p w14:paraId="79B734CD"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d. Ser factor de desarrollo científico, cultural, económico, político y ético a nivel nacional y regional.</w:t>
      </w:r>
    </w:p>
    <w:p w14:paraId="04719663"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e. Actuar armónicamente entre sí y con las demás estructuras educativas y formativas. </w:t>
      </w:r>
    </w:p>
    <w:p w14:paraId="14A2F576"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t xml:space="preserve">f. Contribuir al desarrollo de los niveles educativos que le preceden para facilitar el logro de sus correspondientes fines. </w:t>
      </w:r>
    </w:p>
    <w:p w14:paraId="4AAF6AC3" w14:textId="77777777" w:rsidR="00F861AA" w:rsidRPr="00F861AA" w:rsidRDefault="00F861AA" w:rsidP="00F861AA">
      <w:pPr>
        <w:jc w:val="both"/>
        <w:rPr>
          <w:rFonts w:ascii="Garamond" w:hAnsi="Garamond" w:cs="Arial"/>
          <w:sz w:val="24"/>
          <w:szCs w:val="24"/>
        </w:rPr>
      </w:pPr>
      <w:r w:rsidRPr="00F861AA">
        <w:rPr>
          <w:rFonts w:ascii="Garamond" w:hAnsi="Garamond" w:cs="Arial"/>
          <w:sz w:val="24"/>
          <w:szCs w:val="24"/>
        </w:rPr>
        <w:lastRenderedPageBreak/>
        <w:t>g. Promover la unidad nacional, la descentralización, la integración regional, y la cooperación interinstitucional con miras a que las diversas zonas del país dispongan de los recursos humanos y de las tecnologías apropiadas que les permitan atender adecuadamente sus necesidades. (…)”</w:t>
      </w:r>
    </w:p>
    <w:p w14:paraId="29128273" w14:textId="4F296E78" w:rsidR="000F3FD5" w:rsidRPr="00B22D7C" w:rsidRDefault="00F861AA" w:rsidP="0017110D">
      <w:pPr>
        <w:jc w:val="both"/>
        <w:rPr>
          <w:rFonts w:ascii="Garamond" w:hAnsi="Garamond" w:cs="Arial"/>
          <w:sz w:val="24"/>
          <w:szCs w:val="24"/>
        </w:rPr>
      </w:pPr>
      <w:r w:rsidRPr="00F861AA">
        <w:rPr>
          <w:rFonts w:ascii="Garamond" w:hAnsi="Garamond" w:cs="Arial"/>
          <w:sz w:val="24"/>
          <w:szCs w:val="24"/>
        </w:rPr>
        <w:t>Finalmente, la Ley 2307 de 2023 “Por la cual se establece la gratuidad en los programas de pregrado en las instituciones de educación superior públicas del país y se dictan otras disposiciones", en su Artículo 2° estipula que el Gobierno Nacional garantizará la financiación necesaria para asegurar la gratuidad en el valor de la matrícula de los programas de pregrado en instituciones de educación superior públicas, con el fin de eliminar las barreras de acceso y garantizar la permanencia educativa.</w:t>
      </w:r>
    </w:p>
    <w:p w14:paraId="1E5CE544" w14:textId="76A00E1F" w:rsidR="005A1DFF" w:rsidRPr="001D6FA2" w:rsidRDefault="005A1DFF" w:rsidP="00CD5ED6">
      <w:pPr>
        <w:jc w:val="both"/>
        <w:rPr>
          <w:rFonts w:ascii="Garamond" w:eastAsia="Calibri" w:hAnsi="Garamond" w:cs="Arial"/>
          <w:kern w:val="2"/>
          <w:sz w:val="24"/>
          <w:szCs w:val="24"/>
          <w:lang w:eastAsia="en-US"/>
          <w14:ligatures w14:val="standardContextual"/>
        </w:rPr>
      </w:pPr>
    </w:p>
    <w:p w14:paraId="507155AA" w14:textId="593F19DF" w:rsidR="009C43AD" w:rsidRPr="009C43AD" w:rsidRDefault="009C43AD" w:rsidP="001310CC">
      <w:pPr>
        <w:pStyle w:val="Prrafodelista"/>
        <w:numPr>
          <w:ilvl w:val="0"/>
          <w:numId w:val="7"/>
        </w:numPr>
        <w:rPr>
          <w:rFonts w:ascii="Garamond" w:eastAsia="Calibri" w:hAnsi="Garamond" w:cs="Arial"/>
          <w:b/>
          <w:sz w:val="24"/>
          <w:szCs w:val="24"/>
        </w:rPr>
      </w:pPr>
      <w:r>
        <w:rPr>
          <w:rFonts w:ascii="Garamond" w:eastAsia="Calibri" w:hAnsi="Garamond" w:cs="Arial"/>
          <w:b/>
          <w:sz w:val="24"/>
          <w:szCs w:val="24"/>
        </w:rPr>
        <w:t>A</w:t>
      </w:r>
      <w:r w:rsidRPr="009C43AD">
        <w:rPr>
          <w:rFonts w:ascii="Garamond" w:eastAsia="Calibri" w:hAnsi="Garamond" w:cs="Arial"/>
          <w:b/>
          <w:sz w:val="24"/>
          <w:szCs w:val="24"/>
        </w:rPr>
        <w:t>ge</w:t>
      </w:r>
      <w:r>
        <w:rPr>
          <w:rFonts w:ascii="Garamond" w:eastAsia="Calibri" w:hAnsi="Garamond" w:cs="Arial"/>
          <w:b/>
          <w:sz w:val="24"/>
          <w:szCs w:val="24"/>
        </w:rPr>
        <w:t>ncia D</w:t>
      </w:r>
      <w:r w:rsidRPr="009C43AD">
        <w:rPr>
          <w:rFonts w:ascii="Garamond" w:eastAsia="Calibri" w:hAnsi="Garamond" w:cs="Arial"/>
          <w:b/>
          <w:sz w:val="24"/>
          <w:szCs w:val="24"/>
        </w:rPr>
        <w:t xml:space="preserve">istrital Para La Educación Superior, La </w:t>
      </w:r>
      <w:r>
        <w:rPr>
          <w:rFonts w:ascii="Garamond" w:eastAsia="Calibri" w:hAnsi="Garamond" w:cs="Arial"/>
          <w:b/>
          <w:sz w:val="24"/>
          <w:szCs w:val="24"/>
        </w:rPr>
        <w:t>Ciencia Y La Tecnología - ATENEA</w:t>
      </w:r>
    </w:p>
    <w:p w14:paraId="595D07B7" w14:textId="3A019636" w:rsidR="009C43AD" w:rsidRPr="009C43AD" w:rsidRDefault="009C43AD" w:rsidP="009C43AD">
      <w:pPr>
        <w:jc w:val="both"/>
        <w:rPr>
          <w:rFonts w:ascii="Garamond" w:eastAsia="Calibri" w:hAnsi="Garamond" w:cs="Arial"/>
          <w:b/>
          <w:bCs/>
          <w:sz w:val="24"/>
          <w:szCs w:val="24"/>
        </w:rPr>
      </w:pPr>
      <w:r>
        <w:rPr>
          <w:rFonts w:ascii="Garamond" w:eastAsia="Calibri" w:hAnsi="Garamond" w:cs="Arial"/>
          <w:b/>
          <w:bCs/>
          <w:sz w:val="24"/>
          <w:szCs w:val="24"/>
        </w:rPr>
        <w:t xml:space="preserve"> N</w:t>
      </w:r>
      <w:r w:rsidRPr="009C43AD">
        <w:rPr>
          <w:rFonts w:ascii="Garamond" w:eastAsia="Calibri" w:hAnsi="Garamond" w:cs="Arial"/>
          <w:b/>
          <w:bCs/>
          <w:sz w:val="24"/>
          <w:szCs w:val="24"/>
        </w:rPr>
        <w:t xml:space="preserve">aturaleza, objeto y funciones </w:t>
      </w:r>
    </w:p>
    <w:p w14:paraId="0F525B74" w14:textId="77777777" w:rsidR="009C43AD" w:rsidRDefault="009C43AD" w:rsidP="009C43AD">
      <w:pPr>
        <w:jc w:val="both"/>
        <w:rPr>
          <w:rFonts w:ascii="Garamond" w:eastAsia="Calibri" w:hAnsi="Garamond" w:cs="Arial"/>
          <w:sz w:val="24"/>
          <w:szCs w:val="24"/>
        </w:rPr>
      </w:pPr>
    </w:p>
    <w:p w14:paraId="60FDD823" w14:textId="69DAF0BC"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rPr>
        <w:t>Mediante Decreto Distrital 273 de 2020 se creó la Agencia Distrital para la Educación Superior, la Ciencia y la Tecnología – Atenea, como una entidad pública de naturaleza especial, con personería jurídica, autonomía administrativa, financiera y presupuestal y patrimonio propio, adscrita al sector administrativo de coordinación de Educación, cuya cabeza es la Secretaría de Educación del Distrito.</w:t>
      </w:r>
    </w:p>
    <w:p w14:paraId="26C70DA4" w14:textId="77777777" w:rsidR="009C43AD" w:rsidRDefault="009C43AD" w:rsidP="009C43AD">
      <w:pPr>
        <w:jc w:val="both"/>
        <w:rPr>
          <w:rFonts w:ascii="Garamond" w:eastAsia="Calibri" w:hAnsi="Garamond" w:cs="Arial"/>
          <w:sz w:val="24"/>
          <w:szCs w:val="24"/>
          <w:lang w:val="es-ES"/>
        </w:rPr>
      </w:pPr>
    </w:p>
    <w:p w14:paraId="05599CB2" w14:textId="2773F692" w:rsidR="009C43AD" w:rsidRPr="009C43AD" w:rsidRDefault="009C43AD" w:rsidP="009C43AD">
      <w:pPr>
        <w:jc w:val="both"/>
        <w:rPr>
          <w:rFonts w:ascii="Garamond" w:eastAsia="Calibri" w:hAnsi="Garamond" w:cs="Arial"/>
          <w:sz w:val="24"/>
          <w:szCs w:val="24"/>
          <w:lang w:val="es-ES"/>
        </w:rPr>
      </w:pPr>
      <w:r w:rsidRPr="009C43AD">
        <w:rPr>
          <w:rFonts w:ascii="Garamond" w:eastAsia="Calibri" w:hAnsi="Garamond" w:cs="Arial"/>
          <w:sz w:val="24"/>
          <w:szCs w:val="24"/>
          <w:lang w:val="es-ES"/>
        </w:rPr>
        <w:t>De acuerdo con el mencionado Decreto 273 de 2020, la Agencia Atenea tiene por objeto: “Fortalecer, promover, financiar y propiciar oferta educativa del nivel superior, privilegiando la educación superior a través de las Instituciones de Educación Superior públicas, desde la educación media a la técnica, tecnológica y universitaria, en todas las modalidades; articular la oferta educativa con la demanda laboral del sector privado, el sector público y las organizaciones sociales y culturales de la ciudad; así como la promoción de la ciencia y la tecnología, de los proyectos de investigación científica de grupos de investigación reconocidos por el Ministerio de Ciencia, Tecnología e Innovación en el Distrito Capital”.</w:t>
      </w:r>
    </w:p>
    <w:p w14:paraId="2075DF39" w14:textId="77777777" w:rsidR="009C43AD" w:rsidRDefault="009C43AD" w:rsidP="009C43AD">
      <w:pPr>
        <w:jc w:val="both"/>
        <w:rPr>
          <w:rFonts w:ascii="Garamond" w:eastAsia="Calibri" w:hAnsi="Garamond" w:cs="Arial"/>
          <w:sz w:val="24"/>
          <w:szCs w:val="24"/>
          <w:lang w:val="es-ES"/>
        </w:rPr>
      </w:pPr>
    </w:p>
    <w:p w14:paraId="59DD144E" w14:textId="73690F1E" w:rsidR="009C43AD" w:rsidRPr="009C43AD" w:rsidRDefault="009C43AD" w:rsidP="009C43AD">
      <w:pPr>
        <w:jc w:val="both"/>
        <w:rPr>
          <w:rFonts w:ascii="Garamond" w:eastAsia="Calibri" w:hAnsi="Garamond" w:cs="Arial"/>
          <w:sz w:val="24"/>
          <w:szCs w:val="24"/>
          <w:lang w:val="es-ES"/>
        </w:rPr>
      </w:pPr>
      <w:r w:rsidRPr="009C43AD">
        <w:rPr>
          <w:rFonts w:ascii="Garamond" w:eastAsia="Calibri" w:hAnsi="Garamond" w:cs="Arial"/>
          <w:sz w:val="24"/>
          <w:szCs w:val="24"/>
          <w:lang w:val="es-ES"/>
        </w:rPr>
        <w:t xml:space="preserve">El artículo 6 del decreto precitado establece que la Agencia Atenea tendrá las siguientes funciones: </w:t>
      </w:r>
    </w:p>
    <w:p w14:paraId="55D5064F" w14:textId="77777777" w:rsidR="009C43AD" w:rsidRDefault="009C43AD" w:rsidP="009C43AD">
      <w:pPr>
        <w:jc w:val="both"/>
        <w:rPr>
          <w:rFonts w:ascii="Garamond" w:eastAsia="Calibri" w:hAnsi="Garamond" w:cs="Arial"/>
          <w:sz w:val="24"/>
          <w:szCs w:val="24"/>
          <w:lang w:val="es-ES"/>
        </w:rPr>
      </w:pPr>
    </w:p>
    <w:p w14:paraId="11B4D81E" w14:textId="675DF452" w:rsidR="009C43AD" w:rsidRPr="009C43AD" w:rsidRDefault="009C43AD" w:rsidP="009C43AD">
      <w:pPr>
        <w:jc w:val="both"/>
        <w:rPr>
          <w:rFonts w:ascii="Garamond" w:eastAsia="Calibri" w:hAnsi="Garamond" w:cs="Arial"/>
          <w:sz w:val="24"/>
          <w:szCs w:val="24"/>
          <w:lang w:val="es-ES"/>
        </w:rPr>
      </w:pPr>
      <w:r w:rsidRPr="009C43AD">
        <w:rPr>
          <w:rFonts w:ascii="Garamond" w:eastAsia="Calibri" w:hAnsi="Garamond" w:cs="Arial"/>
          <w:sz w:val="24"/>
          <w:szCs w:val="24"/>
          <w:lang w:val="es-ES"/>
        </w:rPr>
        <w:t>“1. Liderar, acompañar y dar soporte técnico en la formulación y ejecución de las políticas, planes, programas y proyectos distritales de acceso, permanencia y pertinencia de la educación post-media</w:t>
      </w:r>
      <w:r>
        <w:rPr>
          <w:rFonts w:ascii="Garamond" w:eastAsia="Calibri" w:hAnsi="Garamond" w:cs="Arial"/>
          <w:sz w:val="24"/>
          <w:szCs w:val="24"/>
          <w:lang w:val="es-ES"/>
        </w:rPr>
        <w:t>.</w:t>
      </w:r>
    </w:p>
    <w:p w14:paraId="4D30BF39"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2. Coordinar el Sistema Distrital de Educación Post-media, que articule la educación media, la educación para el trabajo y el desarrollo humano, la educación informal, la certificación de competencias y la educación superior, con el objeto de promover el desarrollo sostenible de la ciudad y el cierre de brechas.</w:t>
      </w:r>
    </w:p>
    <w:p w14:paraId="6224BE67"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 xml:space="preserve">3. Diseñar y ejecutar planes, programas y proyectos distritales para la transición de la educación media a la superior; y para la articulación entre la educación media y la educación post-media, teniendo en </w:t>
      </w:r>
      <w:r w:rsidRPr="009C43AD">
        <w:rPr>
          <w:rFonts w:ascii="Garamond" w:eastAsia="Calibri" w:hAnsi="Garamond" w:cs="Arial"/>
          <w:sz w:val="24"/>
          <w:szCs w:val="24"/>
          <w:lang w:val="es-ES"/>
        </w:rPr>
        <w:lastRenderedPageBreak/>
        <w:t>cuenta las posibilidades de acceso de la población a estos niveles, en coordinación con las entidades competentes.</w:t>
      </w:r>
    </w:p>
    <w:p w14:paraId="36A9674F"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4. Desarrollar los planes, programas y proyectos distritales para el establecimiento de rutas y modelos de homologación de contenidos académicos y competencias laborales de los actores del Sistema Distrital de Educación Post-media.</w:t>
      </w:r>
    </w:p>
    <w:p w14:paraId="1BED1F23"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5. Gestionar y ejecutar estrategias de financiamiento público y/o privado, para promover el acceso, permanencia y articulación en educación post-media, la cual incluye la formación para el trabajo, la educación informal, la educación superior y la certificación de competencias, privilegiando la oferta pública.</w:t>
      </w:r>
    </w:p>
    <w:p w14:paraId="72D04898"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6. Gestionar y ejecutar planes, programas y proyectos distritales que promuevan el fortalecimiento y financiamiento de proyectos y redes colaborativas de ciencia, tecnología e innovación con actores del sector público y privado, para mejorar la infraestructura tecnológica del Distrito Capital.</w:t>
      </w:r>
    </w:p>
    <w:p w14:paraId="3B7DE8FA"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7. Coordinar bajo la orientación de los organismos y entidades competentes en la materia en el Distrito Capital, la formulación y ejecución de la política, planes, programas y proyectos distritales de ciencia, tecnología e innovación; así como en la divulgación y apropiación social de conocimiento resultado de CT+I.</w:t>
      </w:r>
    </w:p>
    <w:p w14:paraId="685F9F1A"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8. Gestionar la creación, promover el fortalecimiento y participar en alianzas y convenios de cooperación con entidades y actores del ecosistema de ciencia, tecnología e innovación, así como la gestión y consecución de recursos para su desarrollo.</w:t>
      </w:r>
    </w:p>
    <w:p w14:paraId="376791F2"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9. Orientar, liderar y desarrollar programas y proyectos distritales de base científica y tecnológica, para la solución de problemas y desafíos de la ciudad y la región, el fortalecimiento de su infraestructura tecnológica y su capital humano, intelectual y relacional, en coordinación con los organismos y entidades competentes en la materia en el Distrito Capital.</w:t>
      </w:r>
    </w:p>
    <w:p w14:paraId="1B56C12A"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10. Desarrollar, mantener y actualizar un modelo de análisis de información que permita orientar, con criterios de pertinencia, la oferta en la formación post-media, y que articule la vocación de los y las jóvenes con las necesidades de empleo, emprendimiento e innovación.</w:t>
      </w:r>
    </w:p>
    <w:p w14:paraId="6A3D3056"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11. Suscribir convenios, asociarse o conformar esquemas asociativos con entidades públicas de cualquier nivel de gobierno o con personas de derecho privado, y efectuar las transferencias o aportes correspondientes, con sujeción a lo dispuesto en la Ley </w:t>
      </w:r>
      <w:hyperlink r:id="rId15" w:history="1">
        <w:r w:rsidRPr="009C43AD">
          <w:rPr>
            <w:rStyle w:val="Hipervnculo"/>
            <w:rFonts w:ascii="Garamond" w:eastAsia="Calibri" w:hAnsi="Garamond" w:cs="Arial"/>
            <w:sz w:val="24"/>
            <w:szCs w:val="24"/>
            <w:lang w:val="es-ES"/>
          </w:rPr>
          <w:t>489</w:t>
        </w:r>
      </w:hyperlink>
      <w:r w:rsidRPr="009C43AD">
        <w:rPr>
          <w:rFonts w:ascii="Garamond" w:eastAsia="Calibri" w:hAnsi="Garamond" w:cs="Arial"/>
          <w:sz w:val="24"/>
          <w:szCs w:val="24"/>
          <w:lang w:val="es-ES"/>
        </w:rPr>
        <w:t> de 1998, el Acuerdo </w:t>
      </w:r>
      <w:hyperlink r:id="rId16" w:history="1">
        <w:r w:rsidRPr="009C43AD">
          <w:rPr>
            <w:rStyle w:val="Hipervnculo"/>
            <w:rFonts w:ascii="Garamond" w:eastAsia="Calibri" w:hAnsi="Garamond" w:cs="Arial"/>
            <w:sz w:val="24"/>
            <w:szCs w:val="24"/>
            <w:lang w:val="es-ES"/>
          </w:rPr>
          <w:t>257</w:t>
        </w:r>
      </w:hyperlink>
      <w:r w:rsidRPr="009C43AD">
        <w:rPr>
          <w:rFonts w:ascii="Garamond" w:eastAsia="Calibri" w:hAnsi="Garamond" w:cs="Arial"/>
          <w:sz w:val="24"/>
          <w:szCs w:val="24"/>
          <w:lang w:val="es-ES"/>
        </w:rPr>
        <w:t> de 2006 y las demás normas legales que modifiquen, adicionen o regulen la materia.</w:t>
      </w:r>
    </w:p>
    <w:p w14:paraId="48744967" w14:textId="77777777" w:rsidR="009C43AD" w:rsidRPr="009C43AD" w:rsidRDefault="009C43AD" w:rsidP="009C43AD">
      <w:pPr>
        <w:jc w:val="both"/>
        <w:rPr>
          <w:rFonts w:ascii="Garamond" w:eastAsia="Calibri" w:hAnsi="Garamond" w:cs="Arial"/>
          <w:sz w:val="24"/>
          <w:szCs w:val="24"/>
        </w:rPr>
      </w:pPr>
      <w:r w:rsidRPr="009C43AD">
        <w:rPr>
          <w:rFonts w:ascii="Garamond" w:eastAsia="Calibri" w:hAnsi="Garamond" w:cs="Arial"/>
          <w:sz w:val="24"/>
          <w:szCs w:val="24"/>
          <w:lang w:val="es-ES"/>
        </w:rPr>
        <w:t>12. Realizar todo tipo de actos y negocios jurídicos que se relacionen con su objeto o faciliten su ejecución, así como aquellos que permitan el ejercicio de sus funciones y el cumplimiento de sus obligaciones.</w:t>
      </w:r>
    </w:p>
    <w:p w14:paraId="3030DF6B" w14:textId="77777777" w:rsidR="009C43AD" w:rsidRPr="009C43AD" w:rsidRDefault="009C43AD" w:rsidP="000E132E">
      <w:pPr>
        <w:jc w:val="both"/>
        <w:rPr>
          <w:rFonts w:ascii="Garamond" w:eastAsia="Calibri" w:hAnsi="Garamond" w:cs="Arial"/>
          <w:sz w:val="24"/>
          <w:szCs w:val="24"/>
        </w:rPr>
      </w:pPr>
      <w:r w:rsidRPr="009C43AD">
        <w:rPr>
          <w:rFonts w:ascii="Garamond" w:eastAsia="Calibri" w:hAnsi="Garamond" w:cs="Arial"/>
          <w:sz w:val="24"/>
          <w:szCs w:val="24"/>
          <w:lang w:val="es-ES"/>
        </w:rPr>
        <w:t>13. Cobrar por los servicios que preste o los bienes que produzca, cuando a ello haya lugar según lo dispuesto en el ordenamiento jurídico y en sus estatutos.</w:t>
      </w:r>
    </w:p>
    <w:p w14:paraId="5DF7CE08" w14:textId="1D14914B" w:rsidR="009C43AD" w:rsidRPr="009C43AD" w:rsidRDefault="009C43AD" w:rsidP="000E132E">
      <w:pPr>
        <w:jc w:val="both"/>
        <w:rPr>
          <w:rFonts w:ascii="Garamond" w:eastAsia="Calibri" w:hAnsi="Garamond" w:cs="Arial"/>
          <w:sz w:val="24"/>
          <w:szCs w:val="24"/>
        </w:rPr>
      </w:pPr>
      <w:r w:rsidRPr="009C43AD">
        <w:rPr>
          <w:rFonts w:ascii="Garamond" w:eastAsia="Calibri" w:hAnsi="Garamond" w:cs="Arial"/>
          <w:sz w:val="24"/>
          <w:szCs w:val="24"/>
          <w:lang w:val="es-ES"/>
        </w:rPr>
        <w:t>14. Las demás que le establezcan las leyes, acuerdos y demás disposiciones aplicables”.</w:t>
      </w:r>
    </w:p>
    <w:p w14:paraId="29489F15" w14:textId="77777777" w:rsidR="00775201" w:rsidRDefault="00775201" w:rsidP="00775201">
      <w:pPr>
        <w:jc w:val="both"/>
        <w:rPr>
          <w:rFonts w:ascii="Garamond" w:eastAsia="Calibri" w:hAnsi="Garamond" w:cs="Arial"/>
          <w:sz w:val="24"/>
          <w:szCs w:val="24"/>
        </w:rPr>
      </w:pPr>
    </w:p>
    <w:p w14:paraId="06A7F1A9" w14:textId="447020D4" w:rsidR="009C43AD" w:rsidRDefault="009C43AD" w:rsidP="00775201">
      <w:pPr>
        <w:jc w:val="both"/>
        <w:rPr>
          <w:rFonts w:ascii="Garamond" w:eastAsia="Calibri" w:hAnsi="Garamond" w:cs="Arial"/>
          <w:sz w:val="24"/>
          <w:szCs w:val="24"/>
        </w:rPr>
      </w:pPr>
      <w:r w:rsidRPr="009C43AD">
        <w:rPr>
          <w:rFonts w:ascii="Garamond" w:eastAsia="Calibri" w:hAnsi="Garamond" w:cs="Arial"/>
          <w:sz w:val="24"/>
          <w:szCs w:val="24"/>
          <w:lang w:val="es-ES"/>
        </w:rPr>
        <w:lastRenderedPageBreak/>
        <w:t xml:space="preserve">Conforme con lo anterior, la Agencia Atenea cuenta con las funciones, competencias y atribuciones que la facultan para adelantar el diseño y gestión de planes, programas, proyectos y estrategias encaminadas a promover el acceso y la permanencia en los programas de educación posmedia que son implementados desde la entidad. </w:t>
      </w:r>
      <w:r w:rsidRPr="009C43AD">
        <w:rPr>
          <w:rFonts w:ascii="Garamond" w:eastAsia="Calibri" w:hAnsi="Garamond" w:cs="Arial"/>
          <w:sz w:val="24"/>
          <w:szCs w:val="24"/>
        </w:rPr>
        <w:t>En ese contexto, la Agencia desarrolla programas encaminados al logro de sus funciones y a la generación de oportunidades que promuevan el acceso y la permanencia en la educación posmedia, para tal efecto entiéndase por:</w:t>
      </w:r>
    </w:p>
    <w:p w14:paraId="1CA84A9F" w14:textId="77777777" w:rsidR="00775201" w:rsidRPr="009C43AD" w:rsidRDefault="00775201" w:rsidP="00775201">
      <w:pPr>
        <w:jc w:val="both"/>
        <w:rPr>
          <w:rFonts w:ascii="Garamond" w:eastAsia="Calibri" w:hAnsi="Garamond" w:cs="Arial"/>
          <w:sz w:val="24"/>
          <w:szCs w:val="24"/>
        </w:rPr>
      </w:pPr>
    </w:p>
    <w:p w14:paraId="73EE9152" w14:textId="1441BAFE" w:rsidR="009C43AD" w:rsidRDefault="009C43AD" w:rsidP="0055486F">
      <w:pPr>
        <w:numPr>
          <w:ilvl w:val="0"/>
          <w:numId w:val="24"/>
        </w:numPr>
        <w:jc w:val="both"/>
        <w:rPr>
          <w:rFonts w:ascii="Garamond" w:eastAsia="Calibri" w:hAnsi="Garamond" w:cs="Arial"/>
          <w:sz w:val="24"/>
          <w:szCs w:val="24"/>
        </w:rPr>
      </w:pPr>
      <w:r w:rsidRPr="009C43AD">
        <w:rPr>
          <w:rFonts w:ascii="Garamond" w:eastAsia="Calibri" w:hAnsi="Garamond" w:cs="Arial"/>
          <w:b/>
          <w:bCs/>
          <w:sz w:val="24"/>
          <w:szCs w:val="24"/>
        </w:rPr>
        <w:t>Acceso</w:t>
      </w:r>
      <w:r w:rsidRPr="009C43AD">
        <w:rPr>
          <w:rFonts w:ascii="Garamond" w:eastAsia="Calibri" w:hAnsi="Garamond" w:cs="Arial"/>
          <w:sz w:val="24"/>
          <w:szCs w:val="24"/>
        </w:rPr>
        <w:t>. El acceso a la educación posmedia se entiende como el conjunto de oportunidades, condiciones y mecanismos que garantizan que los ciudadanos puedan ingresar y avanzar en procesos formativos después de la educación media. Este acceso abarca tanto la educación superior (técnica profesional, tecnológica y universitaria) como la educación para el trabajo y el desarrollo humano (ETDH) formación en programas del subsistema de formación para el trabajo, además de otras opciones de formación y certificación de competencias laborales. El acceso a la educación posmedia en Colombia se fundamenta en los principios de equidad, calidad, inclusión y permanencia, buscando eliminar barreras económicas, geográficas y académicas que dificulten la continuidad educativa. Para ello, se podrán implementar planes de fomento y fortalecimiento institucional, que incluyen estrategias de financiación, expansión de la cobertura, infraestructura y mejora de la calidad educativa en las instituciones públicas.</w:t>
      </w:r>
    </w:p>
    <w:p w14:paraId="38AF6D0D" w14:textId="77777777" w:rsidR="00775201" w:rsidRPr="009C43AD" w:rsidRDefault="00775201" w:rsidP="00775201">
      <w:pPr>
        <w:ind w:left="720"/>
        <w:jc w:val="both"/>
        <w:rPr>
          <w:rFonts w:ascii="Garamond" w:eastAsia="Calibri" w:hAnsi="Garamond" w:cs="Arial"/>
          <w:sz w:val="24"/>
          <w:szCs w:val="24"/>
        </w:rPr>
      </w:pPr>
    </w:p>
    <w:p w14:paraId="2249E815" w14:textId="19B79782" w:rsidR="009C43AD" w:rsidRDefault="009C43AD" w:rsidP="0055486F">
      <w:pPr>
        <w:numPr>
          <w:ilvl w:val="0"/>
          <w:numId w:val="24"/>
        </w:numPr>
        <w:jc w:val="both"/>
        <w:rPr>
          <w:rFonts w:ascii="Garamond" w:eastAsia="Calibri" w:hAnsi="Garamond" w:cs="Arial"/>
          <w:sz w:val="24"/>
          <w:szCs w:val="24"/>
        </w:rPr>
      </w:pPr>
      <w:r w:rsidRPr="009C43AD">
        <w:rPr>
          <w:rFonts w:ascii="Garamond" w:eastAsia="Calibri" w:hAnsi="Garamond" w:cs="Arial"/>
          <w:b/>
          <w:bCs/>
          <w:sz w:val="24"/>
          <w:szCs w:val="24"/>
        </w:rPr>
        <w:t>Permanencia.</w:t>
      </w:r>
      <w:r w:rsidRPr="009C43AD">
        <w:rPr>
          <w:rFonts w:ascii="Garamond" w:eastAsia="Calibri" w:hAnsi="Garamond" w:cs="Arial"/>
          <w:sz w:val="24"/>
          <w:szCs w:val="24"/>
        </w:rPr>
        <w:t xml:space="preserve"> Corresponde al conjunto de actividades y acciones desarrolladas desde la Agencia Atenea y las instituciones de educación superior y de educación y formación para el trabajo con el fin fomentar la continuidad de las y los beneficiarios en los programas académicos. En ese sentido, la permanencia puede comprender, la entrega de apoyos económicos y/o en especie, según las condiciones establecidas en los lineamientos, manuales y documentos técnicos y operativos de las convocatorias realizadas, la aplicación de las estrategias de seguimiento y acompañamiento, y el desarrollo de actividades para el bienestar estudiantil integral.</w:t>
      </w:r>
    </w:p>
    <w:p w14:paraId="333C18EA" w14:textId="7543563A" w:rsidR="00775201" w:rsidRPr="009C43AD" w:rsidRDefault="00775201" w:rsidP="00775201">
      <w:pPr>
        <w:jc w:val="both"/>
        <w:rPr>
          <w:rFonts w:ascii="Garamond" w:eastAsia="Calibri" w:hAnsi="Garamond" w:cs="Arial"/>
          <w:sz w:val="24"/>
          <w:szCs w:val="24"/>
        </w:rPr>
      </w:pPr>
    </w:p>
    <w:p w14:paraId="754AAD00" w14:textId="218442A0" w:rsidR="005A1DFF" w:rsidRPr="006D2D19" w:rsidRDefault="009C43AD" w:rsidP="0055486F">
      <w:pPr>
        <w:numPr>
          <w:ilvl w:val="0"/>
          <w:numId w:val="24"/>
        </w:numPr>
        <w:jc w:val="both"/>
        <w:rPr>
          <w:rFonts w:ascii="Garamond" w:eastAsia="Calibri" w:hAnsi="Garamond" w:cs="Arial"/>
          <w:sz w:val="24"/>
          <w:szCs w:val="24"/>
        </w:rPr>
      </w:pPr>
      <w:r w:rsidRPr="009C43AD">
        <w:rPr>
          <w:rFonts w:ascii="Garamond" w:eastAsia="Calibri" w:hAnsi="Garamond" w:cs="Arial"/>
          <w:b/>
          <w:bCs/>
          <w:sz w:val="24"/>
          <w:szCs w:val="24"/>
        </w:rPr>
        <w:t>Beneficio.</w:t>
      </w:r>
      <w:r w:rsidRPr="009C43AD">
        <w:rPr>
          <w:rFonts w:ascii="Garamond" w:eastAsia="Calibri" w:hAnsi="Garamond" w:cs="Arial"/>
          <w:sz w:val="24"/>
          <w:szCs w:val="24"/>
        </w:rPr>
        <w:t xml:space="preserve"> corresponde a la financiación de la formación en el nivel de educación posmedia o la ejecución de planes de fomento a la calidad, el seguimiento y acompañamiento y el desarrollo de actividades para el bienestar estudiantil integral, aunado a la entrega de apoyos económicos y/o en especie, que promueven la permanencia de los beneficiarios según las condiciones establecidas en los lineamientos, manuales y documentos técnicos y operativos de los procesos o convocatorias realizadas.</w:t>
      </w:r>
    </w:p>
    <w:p w14:paraId="3DE3C847" w14:textId="2ABD7C8A" w:rsidR="00711E94" w:rsidRDefault="00711E94" w:rsidP="00D4044F">
      <w:pPr>
        <w:jc w:val="both"/>
        <w:rPr>
          <w:rFonts w:ascii="Garamond" w:hAnsi="Garamond" w:cs="Arial"/>
          <w:sz w:val="18"/>
          <w:szCs w:val="18"/>
        </w:rPr>
      </w:pPr>
    </w:p>
    <w:p w14:paraId="67D1F181" w14:textId="77777777" w:rsidR="00711E94" w:rsidRPr="009F3338" w:rsidRDefault="00711E94" w:rsidP="00D4044F">
      <w:pPr>
        <w:jc w:val="both"/>
        <w:rPr>
          <w:rFonts w:ascii="Garamond" w:hAnsi="Garamond" w:cs="Arial"/>
          <w:sz w:val="18"/>
          <w:szCs w:val="18"/>
        </w:rPr>
      </w:pPr>
    </w:p>
    <w:p w14:paraId="1CB2A775" w14:textId="7DE69E6D" w:rsidR="00775163" w:rsidRPr="00711E94" w:rsidRDefault="00B27D21" w:rsidP="001310CC">
      <w:pPr>
        <w:pStyle w:val="Prrafodelista"/>
        <w:numPr>
          <w:ilvl w:val="1"/>
          <w:numId w:val="6"/>
        </w:numPr>
        <w:jc w:val="both"/>
        <w:rPr>
          <w:rFonts w:ascii="Garamond" w:hAnsi="Garamond" w:cs="Arial"/>
          <w:b/>
        </w:rPr>
      </w:pPr>
      <w:r w:rsidRPr="00711E94">
        <w:rPr>
          <w:rFonts w:ascii="Garamond" w:hAnsi="Garamond" w:cs="Arial"/>
          <w:b/>
        </w:rPr>
        <w:t>CONVENIENCIA DE LA CONTRATACIÓN</w:t>
      </w:r>
    </w:p>
    <w:p w14:paraId="3CB85C64" w14:textId="24055E83" w:rsidR="001915BB" w:rsidRDefault="001915BB" w:rsidP="00B92EE1">
      <w:pPr>
        <w:jc w:val="both"/>
        <w:rPr>
          <w:rFonts w:ascii="Garamond" w:hAnsi="Garamond" w:cstheme="minorBidi"/>
          <w:sz w:val="24"/>
          <w:szCs w:val="24"/>
        </w:rPr>
      </w:pPr>
      <w:r w:rsidRPr="001915BB">
        <w:rPr>
          <w:rFonts w:ascii="Garamond" w:hAnsi="Garamond" w:cstheme="minorBidi"/>
          <w:sz w:val="24"/>
          <w:szCs w:val="24"/>
        </w:rPr>
        <w:lastRenderedPageBreak/>
        <w:t>Teniendo en cuenta que el Fondo</w:t>
      </w:r>
      <w:r>
        <w:rPr>
          <w:rFonts w:ascii="Garamond" w:hAnsi="Garamond" w:cstheme="minorBidi"/>
          <w:sz w:val="24"/>
          <w:szCs w:val="24"/>
        </w:rPr>
        <w:t xml:space="preserve"> de Desarrollo Local de Los Mártires debe cumplir con las metas </w:t>
      </w:r>
      <w:r w:rsidRPr="001915BB">
        <w:rPr>
          <w:rFonts w:ascii="Garamond" w:hAnsi="Garamond" w:cstheme="minorBidi"/>
          <w:sz w:val="24"/>
          <w:szCs w:val="24"/>
        </w:rPr>
        <w:t xml:space="preserve">planteadas en </w:t>
      </w:r>
      <w:r w:rsidR="00707ED2">
        <w:rPr>
          <w:rFonts w:ascii="Garamond" w:hAnsi="Garamond" w:cstheme="minorBidi"/>
          <w:sz w:val="24"/>
          <w:szCs w:val="24"/>
        </w:rPr>
        <w:t>el Plan de Desarrollo Local 2025-2028</w:t>
      </w:r>
      <w:r w:rsidRPr="001915BB">
        <w:rPr>
          <w:rFonts w:ascii="Garamond" w:hAnsi="Garamond" w:cstheme="minorBidi"/>
          <w:sz w:val="24"/>
          <w:szCs w:val="24"/>
        </w:rPr>
        <w:t xml:space="preserve"> “</w:t>
      </w:r>
      <w:r w:rsidR="00707ED2">
        <w:rPr>
          <w:rFonts w:ascii="Garamond" w:hAnsi="Garamond" w:cstheme="minorBidi"/>
          <w:sz w:val="24"/>
          <w:szCs w:val="24"/>
        </w:rPr>
        <w:t>Mártires Camina Segura”</w:t>
      </w:r>
      <w:r w:rsidRPr="001915BB">
        <w:rPr>
          <w:rFonts w:ascii="Garamond" w:hAnsi="Garamond" w:cstheme="minorBidi"/>
          <w:sz w:val="24"/>
          <w:szCs w:val="24"/>
        </w:rPr>
        <w:t xml:space="preserve">, y que la Agencia Atenea tiene dentro de sus funciones </w:t>
      </w:r>
      <w:r w:rsidR="00707ED2">
        <w:rPr>
          <w:rFonts w:ascii="Garamond" w:hAnsi="Garamond" w:cstheme="minorBidi"/>
          <w:sz w:val="24"/>
          <w:szCs w:val="24"/>
        </w:rPr>
        <w:t xml:space="preserve">en el Decreto 273 de 2020 la de </w:t>
      </w:r>
      <w:r w:rsidRPr="001915BB">
        <w:rPr>
          <w:rFonts w:ascii="Garamond" w:hAnsi="Garamond" w:cstheme="minorBidi"/>
          <w:sz w:val="24"/>
          <w:szCs w:val="24"/>
        </w:rPr>
        <w:t>suscribir convenios, asociarse o conformar esquemas asociativos con entidades públicas de cualquier</w:t>
      </w:r>
      <w:r w:rsidR="00AE6410">
        <w:rPr>
          <w:rFonts w:ascii="Garamond" w:hAnsi="Garamond" w:cstheme="minorBidi"/>
          <w:sz w:val="24"/>
          <w:szCs w:val="24"/>
        </w:rPr>
        <w:t xml:space="preserve"> nivel de gobierno o con </w:t>
      </w:r>
      <w:r w:rsidRPr="001915BB">
        <w:rPr>
          <w:rFonts w:ascii="Garamond" w:hAnsi="Garamond" w:cstheme="minorBidi"/>
          <w:sz w:val="24"/>
          <w:szCs w:val="24"/>
        </w:rPr>
        <w:t>personas de derecho privado, y efectuar las transferencias o aportes</w:t>
      </w:r>
      <w:r w:rsidR="00AE6410">
        <w:rPr>
          <w:rFonts w:ascii="Garamond" w:hAnsi="Garamond" w:cstheme="minorBidi"/>
          <w:sz w:val="24"/>
          <w:szCs w:val="24"/>
        </w:rPr>
        <w:t xml:space="preserve"> </w:t>
      </w:r>
      <w:r w:rsidRPr="001915BB">
        <w:rPr>
          <w:rFonts w:ascii="Garamond" w:hAnsi="Garamond" w:cstheme="minorBidi"/>
          <w:sz w:val="24"/>
          <w:szCs w:val="24"/>
        </w:rPr>
        <w:t>correspondientes, con sujeción a lo dispuesto en la Ley 489 de 1998, el Acuerdo 257 de 2006 y las</w:t>
      </w:r>
      <w:r w:rsidR="00AE6410">
        <w:rPr>
          <w:rFonts w:ascii="Garamond" w:hAnsi="Garamond" w:cstheme="minorBidi"/>
          <w:sz w:val="24"/>
          <w:szCs w:val="24"/>
        </w:rPr>
        <w:t xml:space="preserve"> </w:t>
      </w:r>
      <w:r w:rsidRPr="001915BB">
        <w:rPr>
          <w:rFonts w:ascii="Garamond" w:hAnsi="Garamond" w:cstheme="minorBidi"/>
          <w:sz w:val="24"/>
          <w:szCs w:val="24"/>
        </w:rPr>
        <w:t>demás normas legales que modifiquen, adicionen o regulen la materia, es legalmente posible suscribir</w:t>
      </w:r>
      <w:r w:rsidR="00AE6410">
        <w:rPr>
          <w:rFonts w:ascii="Garamond" w:hAnsi="Garamond" w:cstheme="minorBidi"/>
          <w:sz w:val="24"/>
          <w:szCs w:val="24"/>
        </w:rPr>
        <w:t xml:space="preserve"> </w:t>
      </w:r>
      <w:r w:rsidRPr="001915BB">
        <w:rPr>
          <w:rFonts w:ascii="Garamond" w:hAnsi="Garamond" w:cstheme="minorBidi"/>
          <w:sz w:val="24"/>
          <w:szCs w:val="24"/>
        </w:rPr>
        <w:t>un Convenio interadministrativo que les permita a las partes aunar recursos técnicos, administrativos,</w:t>
      </w:r>
      <w:r w:rsidR="00AE6410">
        <w:rPr>
          <w:rFonts w:ascii="Garamond" w:hAnsi="Garamond" w:cstheme="minorBidi"/>
          <w:sz w:val="24"/>
          <w:szCs w:val="24"/>
        </w:rPr>
        <w:t xml:space="preserve"> </w:t>
      </w:r>
      <w:r w:rsidRPr="001915BB">
        <w:rPr>
          <w:rFonts w:ascii="Garamond" w:hAnsi="Garamond" w:cstheme="minorBidi"/>
          <w:sz w:val="24"/>
          <w:szCs w:val="24"/>
        </w:rPr>
        <w:t>legales y financieros que les permita ejecutar el programa Jóvenes a la E, anteriormente Jóvenes a la U.</w:t>
      </w:r>
    </w:p>
    <w:p w14:paraId="7D07840E" w14:textId="77777777" w:rsidR="00AE6410" w:rsidRPr="001915BB" w:rsidRDefault="00AE6410" w:rsidP="00B92EE1">
      <w:pPr>
        <w:jc w:val="both"/>
        <w:rPr>
          <w:rFonts w:ascii="Garamond" w:hAnsi="Garamond" w:cstheme="minorBidi"/>
          <w:sz w:val="24"/>
          <w:szCs w:val="24"/>
        </w:rPr>
      </w:pPr>
    </w:p>
    <w:p w14:paraId="07BD361C" w14:textId="77777777" w:rsidR="001915BB" w:rsidRPr="001915BB" w:rsidRDefault="001915BB" w:rsidP="00B92EE1">
      <w:pPr>
        <w:jc w:val="both"/>
        <w:rPr>
          <w:rFonts w:ascii="Garamond" w:hAnsi="Garamond" w:cstheme="minorBidi"/>
          <w:sz w:val="24"/>
          <w:szCs w:val="24"/>
        </w:rPr>
      </w:pPr>
      <w:r w:rsidRPr="001915BB">
        <w:rPr>
          <w:rFonts w:ascii="Garamond" w:hAnsi="Garamond" w:cstheme="minorBidi"/>
          <w:sz w:val="24"/>
          <w:szCs w:val="24"/>
        </w:rPr>
        <w:t>Aunado a lo anterior las Entidades públicas del orden distrital tienen dentro de su misión y propósito</w:t>
      </w:r>
    </w:p>
    <w:p w14:paraId="00D1721E" w14:textId="77777777" w:rsidR="001915BB" w:rsidRPr="001915BB" w:rsidRDefault="001915BB" w:rsidP="00B92EE1">
      <w:pPr>
        <w:jc w:val="both"/>
        <w:rPr>
          <w:rFonts w:ascii="Garamond" w:hAnsi="Garamond" w:cstheme="minorBidi"/>
          <w:sz w:val="24"/>
          <w:szCs w:val="24"/>
        </w:rPr>
      </w:pPr>
      <w:r w:rsidRPr="001915BB">
        <w:rPr>
          <w:rFonts w:ascii="Garamond" w:hAnsi="Garamond" w:cstheme="minorBidi"/>
          <w:sz w:val="24"/>
          <w:szCs w:val="24"/>
        </w:rPr>
        <w:t>dar cumplimiento a los lineamientos constitucionales y legales en materia de acceso y permanencia en</w:t>
      </w:r>
    </w:p>
    <w:p w14:paraId="2042B834" w14:textId="4DA641CD" w:rsidR="00915BAA" w:rsidRDefault="001915BB" w:rsidP="00B92EE1">
      <w:pPr>
        <w:jc w:val="both"/>
        <w:rPr>
          <w:rFonts w:ascii="Garamond" w:hAnsi="Garamond" w:cstheme="minorBidi"/>
          <w:sz w:val="24"/>
          <w:szCs w:val="24"/>
        </w:rPr>
      </w:pPr>
      <w:r w:rsidRPr="001915BB">
        <w:rPr>
          <w:rFonts w:ascii="Garamond" w:hAnsi="Garamond" w:cstheme="minorBidi"/>
          <w:sz w:val="24"/>
          <w:szCs w:val="24"/>
        </w:rPr>
        <w:t>la educación superior en procura de la materialización de lo dispuesto en el Plan de Desarrollo antes</w:t>
      </w:r>
      <w:r w:rsidR="00B92EE1">
        <w:rPr>
          <w:rFonts w:ascii="Garamond" w:hAnsi="Garamond" w:cstheme="minorBidi"/>
          <w:sz w:val="24"/>
          <w:szCs w:val="24"/>
        </w:rPr>
        <w:t xml:space="preserve"> </w:t>
      </w:r>
      <w:r w:rsidRPr="001915BB">
        <w:rPr>
          <w:rFonts w:ascii="Garamond" w:hAnsi="Garamond" w:cstheme="minorBidi"/>
          <w:sz w:val="24"/>
          <w:szCs w:val="24"/>
        </w:rPr>
        <w:t>mencionado.</w:t>
      </w:r>
    </w:p>
    <w:p w14:paraId="6472988B" w14:textId="38D5ACAD" w:rsidR="001915BB" w:rsidRDefault="001915BB" w:rsidP="00B92EE1">
      <w:pPr>
        <w:jc w:val="both"/>
        <w:rPr>
          <w:rFonts w:ascii="Garamond" w:hAnsi="Garamond" w:cstheme="minorBidi"/>
          <w:sz w:val="24"/>
          <w:szCs w:val="24"/>
        </w:rPr>
      </w:pPr>
    </w:p>
    <w:p w14:paraId="31906A61" w14:textId="63604910" w:rsidR="00863D43" w:rsidRDefault="00863D43" w:rsidP="00B92EE1">
      <w:pPr>
        <w:jc w:val="both"/>
        <w:rPr>
          <w:rFonts w:ascii="Garamond" w:eastAsia="Calibri" w:hAnsi="Garamond" w:cs="Arial"/>
          <w:sz w:val="24"/>
          <w:szCs w:val="24"/>
        </w:rPr>
      </w:pPr>
      <w:commentRangeStart w:id="3"/>
      <w:r>
        <w:rPr>
          <w:rFonts w:ascii="Garamond" w:hAnsi="Garamond" w:cstheme="minorBidi"/>
          <w:sz w:val="24"/>
          <w:szCs w:val="24"/>
        </w:rPr>
        <w:t xml:space="preserve">De igual forma, ATENEA es </w:t>
      </w:r>
      <w:r w:rsidRPr="009C43AD">
        <w:rPr>
          <w:rFonts w:ascii="Garamond" w:eastAsia="Calibri" w:hAnsi="Garamond" w:cs="Arial"/>
          <w:sz w:val="24"/>
          <w:szCs w:val="24"/>
        </w:rPr>
        <w:t>una entidad pública de naturaleza especial, con personería jurídica, autonomía administrativa, financiera y presupuestal y patrimonio propio, adscrita al sector administrativo de coordinación de Educación, cuya cabeza es la Secretaría de Educación del Distrito.</w:t>
      </w:r>
      <w:commentRangeEnd w:id="3"/>
      <w:r>
        <w:rPr>
          <w:rStyle w:val="Refdecomentario"/>
        </w:rPr>
        <w:commentReference w:id="3"/>
      </w:r>
    </w:p>
    <w:p w14:paraId="52AC5E11" w14:textId="77777777" w:rsidR="00863D43" w:rsidRDefault="00863D43" w:rsidP="00B92EE1">
      <w:pPr>
        <w:jc w:val="both"/>
        <w:rPr>
          <w:rFonts w:ascii="Garamond" w:eastAsia="Calibri" w:hAnsi="Garamond" w:cs="Arial"/>
          <w:sz w:val="24"/>
          <w:szCs w:val="24"/>
        </w:rPr>
      </w:pPr>
    </w:p>
    <w:p w14:paraId="072EB3FD" w14:textId="77777777" w:rsidR="00863D43" w:rsidRDefault="00863D43" w:rsidP="00B92EE1">
      <w:pPr>
        <w:jc w:val="both"/>
        <w:rPr>
          <w:rFonts w:ascii="Garamond" w:hAnsi="Garamond" w:cstheme="minorBidi"/>
          <w:sz w:val="24"/>
          <w:szCs w:val="24"/>
        </w:rPr>
      </w:pPr>
    </w:p>
    <w:p w14:paraId="256C3B08" w14:textId="686BA49C" w:rsidR="00915BAA" w:rsidRDefault="001915BB" w:rsidP="00B92EE1">
      <w:pPr>
        <w:jc w:val="both"/>
        <w:rPr>
          <w:rFonts w:ascii="Garamond" w:hAnsi="Garamond" w:cstheme="minorBidi"/>
          <w:sz w:val="24"/>
          <w:szCs w:val="24"/>
        </w:rPr>
      </w:pPr>
      <w:r w:rsidRPr="001915BB">
        <w:rPr>
          <w:rFonts w:ascii="Garamond" w:hAnsi="Garamond" w:cstheme="minorBidi"/>
          <w:sz w:val="24"/>
          <w:szCs w:val="24"/>
        </w:rPr>
        <w:t>En virtud de lo anterior, se encuentra sustentada la procedencia y conveniencia de suscribir un</w:t>
      </w:r>
      <w:r w:rsidR="00B92EE1">
        <w:rPr>
          <w:rFonts w:ascii="Garamond" w:hAnsi="Garamond" w:cstheme="minorBidi"/>
          <w:sz w:val="24"/>
          <w:szCs w:val="24"/>
        </w:rPr>
        <w:t xml:space="preserve"> </w:t>
      </w:r>
      <w:r w:rsidRPr="001915BB">
        <w:rPr>
          <w:rFonts w:ascii="Garamond" w:hAnsi="Garamond" w:cstheme="minorBidi"/>
          <w:sz w:val="24"/>
          <w:szCs w:val="24"/>
        </w:rPr>
        <w:t>Convenio Interadministrativo entre la Agencia Distrital para la Educación Superior, la Ciencia y la</w:t>
      </w:r>
      <w:r w:rsidR="00B92EE1">
        <w:rPr>
          <w:rFonts w:ascii="Garamond" w:hAnsi="Garamond" w:cstheme="minorBidi"/>
          <w:sz w:val="24"/>
          <w:szCs w:val="24"/>
        </w:rPr>
        <w:t xml:space="preserve"> </w:t>
      </w:r>
      <w:r w:rsidRPr="001915BB">
        <w:rPr>
          <w:rFonts w:ascii="Garamond" w:hAnsi="Garamond" w:cstheme="minorBidi"/>
          <w:sz w:val="24"/>
          <w:szCs w:val="24"/>
        </w:rPr>
        <w:t xml:space="preserve">Tecnología - ATENEA y el Fondo de Desarrollo Local de </w:t>
      </w:r>
      <w:commentRangeStart w:id="4"/>
      <w:r w:rsidRPr="001915BB">
        <w:rPr>
          <w:rFonts w:ascii="Garamond" w:hAnsi="Garamond" w:cstheme="minorBidi"/>
          <w:sz w:val="24"/>
          <w:szCs w:val="24"/>
        </w:rPr>
        <w:t>Engativá</w:t>
      </w:r>
      <w:commentRangeEnd w:id="4"/>
      <w:r w:rsidR="00863D43">
        <w:rPr>
          <w:rStyle w:val="Refdecomentario"/>
        </w:rPr>
        <w:commentReference w:id="4"/>
      </w:r>
      <w:r w:rsidRPr="001915BB">
        <w:rPr>
          <w:rFonts w:ascii="Garamond" w:hAnsi="Garamond" w:cstheme="minorBidi"/>
          <w:sz w:val="24"/>
          <w:szCs w:val="24"/>
        </w:rPr>
        <w:t>, como entidades públicas del</w:t>
      </w:r>
      <w:r w:rsidR="00B92EE1">
        <w:rPr>
          <w:rFonts w:ascii="Garamond" w:hAnsi="Garamond" w:cstheme="minorBidi"/>
          <w:sz w:val="24"/>
          <w:szCs w:val="24"/>
        </w:rPr>
        <w:t xml:space="preserve"> </w:t>
      </w:r>
      <w:r w:rsidRPr="001915BB">
        <w:rPr>
          <w:rFonts w:ascii="Garamond" w:hAnsi="Garamond" w:cstheme="minorBidi"/>
          <w:sz w:val="24"/>
          <w:szCs w:val="24"/>
        </w:rPr>
        <w:t>orden distrital que tienen dentro de su misión y propósitos dar cumplimiento a los lineamientos</w:t>
      </w:r>
      <w:r w:rsidR="00B92EE1">
        <w:rPr>
          <w:rFonts w:ascii="Garamond" w:hAnsi="Garamond" w:cstheme="minorBidi"/>
          <w:sz w:val="24"/>
          <w:szCs w:val="24"/>
        </w:rPr>
        <w:t xml:space="preserve"> </w:t>
      </w:r>
      <w:r w:rsidRPr="001915BB">
        <w:rPr>
          <w:rFonts w:ascii="Garamond" w:hAnsi="Garamond" w:cstheme="minorBidi"/>
          <w:sz w:val="24"/>
          <w:szCs w:val="24"/>
        </w:rPr>
        <w:t>constitucionales y legales en materia de acceso y permanencia en la educación superior en procura de</w:t>
      </w:r>
      <w:r w:rsidR="00B92EE1">
        <w:rPr>
          <w:rFonts w:ascii="Garamond" w:hAnsi="Garamond" w:cstheme="minorBidi"/>
          <w:sz w:val="24"/>
          <w:szCs w:val="24"/>
        </w:rPr>
        <w:t xml:space="preserve"> </w:t>
      </w:r>
      <w:r w:rsidRPr="001915BB">
        <w:rPr>
          <w:rFonts w:ascii="Garamond" w:hAnsi="Garamond" w:cstheme="minorBidi"/>
          <w:sz w:val="24"/>
          <w:szCs w:val="24"/>
        </w:rPr>
        <w:t>la materialización de lo dispuesto en el Plan de Desarrollo Distrital “</w:t>
      </w:r>
      <w:r w:rsidR="00B92EE1">
        <w:rPr>
          <w:rFonts w:ascii="Garamond" w:hAnsi="Garamond" w:cstheme="minorBidi"/>
          <w:sz w:val="24"/>
          <w:szCs w:val="24"/>
        </w:rPr>
        <w:t>Bogota Camina Segura</w:t>
      </w:r>
      <w:r w:rsidRPr="001915BB">
        <w:rPr>
          <w:rFonts w:ascii="Garamond" w:hAnsi="Garamond" w:cstheme="minorBidi"/>
          <w:sz w:val="24"/>
          <w:szCs w:val="24"/>
        </w:rPr>
        <w:t>” y</w:t>
      </w:r>
      <w:commentRangeStart w:id="5"/>
      <w:r w:rsidRPr="001915BB">
        <w:rPr>
          <w:rFonts w:ascii="Garamond" w:hAnsi="Garamond" w:cstheme="minorBidi"/>
          <w:sz w:val="24"/>
          <w:szCs w:val="24"/>
        </w:rPr>
        <w:t xml:space="preserve"> en los planes de desarrollo local.</w:t>
      </w:r>
      <w:commentRangeEnd w:id="5"/>
      <w:r w:rsidR="00863D43">
        <w:rPr>
          <w:rStyle w:val="Refdecomentario"/>
        </w:rPr>
        <w:commentReference w:id="5"/>
      </w:r>
    </w:p>
    <w:p w14:paraId="570A7026" w14:textId="77777777" w:rsidR="00915BAA" w:rsidRPr="00401A61" w:rsidRDefault="00915BAA" w:rsidP="00CA2914">
      <w:pPr>
        <w:jc w:val="both"/>
        <w:rPr>
          <w:rFonts w:ascii="Garamond" w:hAnsi="Garamond" w:cs="Garamond"/>
          <w:color w:val="808080" w:themeColor="background1" w:themeShade="80"/>
          <w:kern w:val="3"/>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775163" w:rsidRPr="00DC3046" w14:paraId="44FCCC02" w14:textId="77777777" w:rsidTr="00926937">
        <w:trPr>
          <w:jc w:val="center"/>
        </w:trPr>
        <w:tc>
          <w:tcPr>
            <w:tcW w:w="9396" w:type="dxa"/>
            <w:shd w:val="clear" w:color="auto" w:fill="E0E0E0"/>
          </w:tcPr>
          <w:p w14:paraId="52EC0EB3" w14:textId="3BF77B8E" w:rsidR="009B4D09" w:rsidRPr="009B4D09" w:rsidRDefault="00775163" w:rsidP="001310CC">
            <w:pPr>
              <w:pStyle w:val="Prrafodelista"/>
              <w:numPr>
                <w:ilvl w:val="0"/>
                <w:numId w:val="6"/>
              </w:numPr>
              <w:jc w:val="both"/>
              <w:rPr>
                <w:rFonts w:ascii="Garamond" w:hAnsi="Garamond" w:cs="Arial"/>
                <w:b/>
                <w:sz w:val="24"/>
                <w:szCs w:val="24"/>
              </w:rPr>
            </w:pPr>
            <w:r w:rsidRPr="009B4D09">
              <w:rPr>
                <w:rFonts w:ascii="Garamond" w:hAnsi="Garamond" w:cs="Arial"/>
                <w:b/>
                <w:sz w:val="24"/>
                <w:szCs w:val="24"/>
              </w:rPr>
              <w:t xml:space="preserve">OBJETO </w:t>
            </w:r>
            <w:r w:rsidR="00EE0C28" w:rsidRPr="009B4D09">
              <w:rPr>
                <w:rFonts w:ascii="Garamond" w:hAnsi="Garamond" w:cs="Arial"/>
                <w:b/>
                <w:sz w:val="24"/>
                <w:szCs w:val="24"/>
              </w:rPr>
              <w:t xml:space="preserve">A CONTRATAR, </w:t>
            </w:r>
            <w:r w:rsidR="0071021E" w:rsidRPr="009B4D09">
              <w:rPr>
                <w:rFonts w:ascii="Garamond" w:hAnsi="Garamond" w:cs="Arial"/>
                <w:b/>
                <w:sz w:val="24"/>
                <w:szCs w:val="24"/>
              </w:rPr>
              <w:t>ESPECIFICACIONES E IDENTIFICACIÓ</w:t>
            </w:r>
            <w:r w:rsidR="00EE0C28" w:rsidRPr="009B4D09">
              <w:rPr>
                <w:rFonts w:ascii="Garamond" w:hAnsi="Garamond" w:cs="Arial"/>
                <w:b/>
                <w:sz w:val="24"/>
                <w:szCs w:val="24"/>
              </w:rPr>
              <w:t xml:space="preserve">N DEL </w:t>
            </w:r>
            <w:r w:rsidR="0012508A" w:rsidRPr="009B4D09">
              <w:rPr>
                <w:rFonts w:ascii="Garamond" w:hAnsi="Garamond" w:cs="Arial"/>
                <w:b/>
                <w:sz w:val="24"/>
                <w:szCs w:val="24"/>
              </w:rPr>
              <w:t>CONVENIO</w:t>
            </w:r>
            <w:r w:rsidR="00EE0C28" w:rsidRPr="009B4D09">
              <w:rPr>
                <w:rFonts w:ascii="Garamond" w:hAnsi="Garamond" w:cs="Arial"/>
                <w:b/>
                <w:sz w:val="24"/>
                <w:szCs w:val="24"/>
              </w:rPr>
              <w:t xml:space="preserve"> A CELEBRAR. </w:t>
            </w:r>
          </w:p>
        </w:tc>
      </w:tr>
    </w:tbl>
    <w:p w14:paraId="312B408B" w14:textId="77777777" w:rsidR="00775163" w:rsidRPr="00DC3046" w:rsidRDefault="00775163" w:rsidP="00FA2FBD">
      <w:pPr>
        <w:jc w:val="both"/>
        <w:rPr>
          <w:rFonts w:ascii="Garamond" w:hAnsi="Garamond" w:cs="Arial"/>
          <w:b/>
          <w:sz w:val="24"/>
          <w:szCs w:val="24"/>
        </w:rPr>
      </w:pPr>
      <w:r w:rsidRPr="00DC3046">
        <w:rPr>
          <w:rFonts w:ascii="Garamond" w:hAnsi="Garamond" w:cs="Arial"/>
          <w:b/>
          <w:sz w:val="24"/>
          <w:szCs w:val="24"/>
        </w:rPr>
        <w:t xml:space="preserve"> </w:t>
      </w:r>
    </w:p>
    <w:p w14:paraId="58D2FF2D" w14:textId="6CD71829" w:rsidR="009B4D09" w:rsidRPr="00CF6679" w:rsidRDefault="00BA14AB" w:rsidP="001310CC">
      <w:pPr>
        <w:pStyle w:val="Prrafodelista"/>
        <w:numPr>
          <w:ilvl w:val="1"/>
          <w:numId w:val="6"/>
        </w:numPr>
        <w:jc w:val="both"/>
        <w:rPr>
          <w:rFonts w:ascii="Garamond" w:hAnsi="Garamond" w:cs="Arial"/>
          <w:b/>
          <w:sz w:val="24"/>
          <w:szCs w:val="24"/>
        </w:rPr>
      </w:pPr>
      <w:r w:rsidRPr="00CF6679">
        <w:rPr>
          <w:rFonts w:ascii="Garamond" w:hAnsi="Garamond" w:cs="Arial"/>
          <w:b/>
          <w:sz w:val="24"/>
          <w:szCs w:val="24"/>
        </w:rPr>
        <w:t>OBJETO</w:t>
      </w:r>
    </w:p>
    <w:p w14:paraId="6BB6502D" w14:textId="62886B16" w:rsidR="00863D43" w:rsidRDefault="005527E2" w:rsidP="00272C15">
      <w:pPr>
        <w:jc w:val="both"/>
        <w:rPr>
          <w:rFonts w:ascii="Garamond" w:hAnsi="Garamond" w:cs="Arial"/>
          <w:sz w:val="24"/>
          <w:szCs w:val="24"/>
        </w:rPr>
      </w:pPr>
      <w:r w:rsidRPr="00CF6679">
        <w:rPr>
          <w:rFonts w:ascii="Garamond" w:hAnsi="Garamond" w:cs="Arial"/>
          <w:sz w:val="24"/>
          <w:szCs w:val="24"/>
        </w:rPr>
        <w:t xml:space="preserve">El Convenio que se pretende celebrar tendrá por objeto </w:t>
      </w:r>
      <w:commentRangeStart w:id="6"/>
      <w:r w:rsidRPr="00CF6679">
        <w:rPr>
          <w:rFonts w:ascii="Garamond" w:hAnsi="Garamond" w:cs="Arial"/>
          <w:sz w:val="24"/>
          <w:szCs w:val="24"/>
        </w:rPr>
        <w:t>“</w:t>
      </w:r>
      <w:r w:rsidR="004E174F" w:rsidRPr="00CF6679">
        <w:rPr>
          <w:rFonts w:ascii="Garamond" w:hAnsi="Garamond" w:cs="Arial"/>
          <w:sz w:val="24"/>
          <w:szCs w:val="24"/>
        </w:rPr>
        <w:t>Aunar esfuerzos y recursos técnicos, administrativos, jurídicos, financieros y humanos entre el Fondo de Desarr</w:t>
      </w:r>
      <w:r w:rsidR="005A789A">
        <w:rPr>
          <w:rFonts w:ascii="Garamond" w:hAnsi="Garamond" w:cs="Arial"/>
          <w:sz w:val="24"/>
          <w:szCs w:val="24"/>
        </w:rPr>
        <w:t>ollo Local de Los Mártires</w:t>
      </w:r>
      <w:r w:rsidR="004E174F" w:rsidRPr="00CF6679">
        <w:rPr>
          <w:rFonts w:ascii="Garamond" w:hAnsi="Garamond" w:cs="Arial"/>
          <w:sz w:val="24"/>
          <w:szCs w:val="24"/>
        </w:rPr>
        <w:t xml:space="preserve"> y la Agencia Atenea, para promover el acceso y la permanencia de los jóvenes de la ciudad de Bogotá a los Programas de Educación Posmedia.</w:t>
      </w:r>
      <w:r w:rsidRPr="00CF6679">
        <w:rPr>
          <w:rFonts w:ascii="Garamond" w:hAnsi="Garamond" w:cs="Arial"/>
          <w:sz w:val="24"/>
          <w:szCs w:val="24"/>
        </w:rPr>
        <w:t>”</w:t>
      </w:r>
      <w:commentRangeEnd w:id="6"/>
      <w:r w:rsidR="00863D43">
        <w:rPr>
          <w:rStyle w:val="Refdecomentario"/>
        </w:rPr>
        <w:commentReference w:id="6"/>
      </w:r>
    </w:p>
    <w:p w14:paraId="3E7AF2DD" w14:textId="77777777" w:rsidR="00863D43" w:rsidRPr="00863D43" w:rsidRDefault="00863D43" w:rsidP="00272C15">
      <w:pPr>
        <w:jc w:val="both"/>
        <w:rPr>
          <w:rFonts w:ascii="Garamond" w:hAnsi="Garamond" w:cs="Arial"/>
          <w:sz w:val="24"/>
          <w:szCs w:val="24"/>
        </w:rPr>
      </w:pPr>
    </w:p>
    <w:p w14:paraId="157A7DF7" w14:textId="133E06A0" w:rsidR="00A13830" w:rsidRDefault="00C0491E" w:rsidP="001310CC">
      <w:pPr>
        <w:pStyle w:val="Prrafodelista"/>
        <w:numPr>
          <w:ilvl w:val="1"/>
          <w:numId w:val="6"/>
        </w:numPr>
        <w:jc w:val="both"/>
        <w:rPr>
          <w:rFonts w:ascii="Garamond" w:hAnsi="Garamond" w:cs="Arial"/>
          <w:b/>
          <w:bCs/>
          <w:lang w:val="es-ES"/>
        </w:rPr>
      </w:pPr>
      <w:r w:rsidRPr="00CF6679">
        <w:rPr>
          <w:rFonts w:ascii="Garamond" w:hAnsi="Garamond" w:cs="Arial"/>
          <w:b/>
          <w:bCs/>
          <w:lang w:val="es-ES"/>
        </w:rPr>
        <w:lastRenderedPageBreak/>
        <w:t>ESPECIFICACIONES TÉCNICAS</w:t>
      </w:r>
    </w:p>
    <w:p w14:paraId="4D90E7BD" w14:textId="77777777" w:rsidR="00711FB7" w:rsidRPr="00CF6679" w:rsidRDefault="00711FB7" w:rsidP="00711FB7">
      <w:pPr>
        <w:pStyle w:val="Prrafodelista"/>
        <w:jc w:val="both"/>
        <w:rPr>
          <w:rFonts w:ascii="Garamond" w:hAnsi="Garamond" w:cs="Arial"/>
          <w:b/>
          <w:bCs/>
          <w:lang w:val="es-ES"/>
        </w:rPr>
      </w:pPr>
    </w:p>
    <w:p w14:paraId="362D2005" w14:textId="492DE712" w:rsidR="00D4415B" w:rsidRPr="00CF6679" w:rsidRDefault="005B4524" w:rsidP="001310CC">
      <w:pPr>
        <w:pStyle w:val="Prrafodelista"/>
        <w:numPr>
          <w:ilvl w:val="2"/>
          <w:numId w:val="6"/>
        </w:numPr>
        <w:jc w:val="both"/>
        <w:rPr>
          <w:rFonts w:ascii="Garamond" w:hAnsi="Garamond" w:cs="Arial"/>
          <w:b/>
          <w:sz w:val="20"/>
          <w:szCs w:val="20"/>
        </w:rPr>
      </w:pPr>
      <w:r w:rsidRPr="00CF6679">
        <w:rPr>
          <w:rFonts w:ascii="Garamond" w:hAnsi="Garamond" w:cs="Arial"/>
          <w:b/>
          <w:sz w:val="24"/>
          <w:szCs w:val="24"/>
        </w:rPr>
        <w:t xml:space="preserve">Código Clasificador De Bienes Y Servicios </w:t>
      </w:r>
      <w:r w:rsidR="00B26AEB" w:rsidRPr="00CF6679">
        <w:rPr>
          <w:rFonts w:ascii="Garamond" w:hAnsi="Garamond" w:cs="Arial"/>
          <w:b/>
          <w:sz w:val="24"/>
          <w:szCs w:val="24"/>
        </w:rPr>
        <w:t>UNSPSC</w:t>
      </w:r>
    </w:p>
    <w:p w14:paraId="6A132CDB" w14:textId="6E19D61D" w:rsidR="00B26AEB" w:rsidRPr="00CF6679" w:rsidRDefault="00B26AEB" w:rsidP="00B26AEB">
      <w:pPr>
        <w:jc w:val="both"/>
        <w:rPr>
          <w:rFonts w:ascii="Garamond" w:hAnsi="Garamond" w:cs="Arial"/>
          <w:bCs/>
          <w:sz w:val="24"/>
          <w:szCs w:val="24"/>
        </w:rPr>
      </w:pPr>
      <w:r w:rsidRPr="00CF6679">
        <w:rPr>
          <w:rFonts w:ascii="Garamond" w:hAnsi="Garamond" w:cs="Arial"/>
          <w:bCs/>
          <w:sz w:val="24"/>
          <w:szCs w:val="24"/>
        </w:rPr>
        <w:t xml:space="preserve">El objeto de este contrato está codificado en la clasificación que se describe a continuación: </w:t>
      </w:r>
    </w:p>
    <w:p w14:paraId="0626E23A" w14:textId="4C26B47A" w:rsidR="00C448B9" w:rsidRPr="00CF6679" w:rsidRDefault="00C448B9" w:rsidP="00B26AEB">
      <w:pPr>
        <w:jc w:val="both"/>
        <w:rPr>
          <w:rFonts w:ascii="Garamond" w:hAnsi="Garamond" w:cs="Arial"/>
          <w:bCs/>
          <w:color w:val="808080" w:themeColor="background1" w:themeShade="8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0"/>
        <w:gridCol w:w="2325"/>
        <w:gridCol w:w="1915"/>
        <w:gridCol w:w="1973"/>
        <w:gridCol w:w="1973"/>
      </w:tblGrid>
      <w:tr w:rsidR="005A739E" w:rsidRPr="00CF6679" w14:paraId="1129D8AE" w14:textId="77777777" w:rsidTr="00865432">
        <w:trPr>
          <w:trHeight w:val="567"/>
        </w:trPr>
        <w:tc>
          <w:tcPr>
            <w:tcW w:w="644" w:type="pct"/>
            <w:shd w:val="clear" w:color="auto" w:fill="F2F2F2"/>
            <w:tcMar>
              <w:top w:w="0" w:type="dxa"/>
              <w:left w:w="70" w:type="dxa"/>
              <w:bottom w:w="0" w:type="dxa"/>
              <w:right w:w="70" w:type="dxa"/>
            </w:tcMar>
            <w:vAlign w:val="center"/>
            <w:hideMark/>
          </w:tcPr>
          <w:p w14:paraId="4197EFE8" w14:textId="77777777" w:rsidR="005A739E" w:rsidRPr="00CF6679" w:rsidRDefault="005A739E" w:rsidP="00865432">
            <w:pPr>
              <w:jc w:val="center"/>
              <w:rPr>
                <w:rFonts w:ascii="Garamond" w:hAnsi="Garamond" w:cs="Arial"/>
                <w:b/>
                <w:bCs/>
                <w:sz w:val="22"/>
                <w:szCs w:val="22"/>
              </w:rPr>
            </w:pPr>
            <w:r w:rsidRPr="00CF6679">
              <w:rPr>
                <w:rFonts w:ascii="Garamond" w:hAnsi="Garamond" w:cs="Arial"/>
                <w:b/>
                <w:bCs/>
                <w:sz w:val="22"/>
                <w:szCs w:val="22"/>
              </w:rPr>
              <w:t xml:space="preserve">Segmento </w:t>
            </w:r>
          </w:p>
        </w:tc>
        <w:tc>
          <w:tcPr>
            <w:tcW w:w="1237" w:type="pct"/>
            <w:shd w:val="clear" w:color="auto" w:fill="F2F2F2"/>
            <w:tcMar>
              <w:top w:w="0" w:type="dxa"/>
              <w:left w:w="70" w:type="dxa"/>
              <w:bottom w:w="0" w:type="dxa"/>
              <w:right w:w="70" w:type="dxa"/>
            </w:tcMar>
            <w:vAlign w:val="center"/>
            <w:hideMark/>
          </w:tcPr>
          <w:p w14:paraId="7CDB68F3" w14:textId="77777777" w:rsidR="005A739E" w:rsidRPr="00CF6679" w:rsidRDefault="005A739E" w:rsidP="00865432">
            <w:pPr>
              <w:jc w:val="center"/>
              <w:rPr>
                <w:rFonts w:ascii="Garamond" w:hAnsi="Garamond" w:cs="Arial"/>
                <w:b/>
                <w:bCs/>
                <w:sz w:val="22"/>
                <w:szCs w:val="22"/>
              </w:rPr>
            </w:pPr>
            <w:r w:rsidRPr="00CF6679">
              <w:rPr>
                <w:rFonts w:ascii="Garamond" w:hAnsi="Garamond" w:cs="Arial"/>
                <w:b/>
                <w:bCs/>
                <w:sz w:val="22"/>
                <w:szCs w:val="22"/>
              </w:rPr>
              <w:t xml:space="preserve">Familia </w:t>
            </w:r>
          </w:p>
        </w:tc>
        <w:tc>
          <w:tcPr>
            <w:tcW w:w="1019" w:type="pct"/>
            <w:shd w:val="clear" w:color="auto" w:fill="F2F2F2"/>
            <w:tcMar>
              <w:top w:w="0" w:type="dxa"/>
              <w:left w:w="70" w:type="dxa"/>
              <w:bottom w:w="0" w:type="dxa"/>
              <w:right w:w="70" w:type="dxa"/>
            </w:tcMar>
            <w:vAlign w:val="center"/>
            <w:hideMark/>
          </w:tcPr>
          <w:p w14:paraId="08563209" w14:textId="77777777" w:rsidR="005A739E" w:rsidRPr="00CF6679" w:rsidRDefault="005A739E" w:rsidP="00865432">
            <w:pPr>
              <w:jc w:val="center"/>
              <w:rPr>
                <w:rFonts w:ascii="Garamond" w:hAnsi="Garamond" w:cs="Arial"/>
                <w:b/>
                <w:bCs/>
                <w:sz w:val="22"/>
                <w:szCs w:val="22"/>
              </w:rPr>
            </w:pPr>
            <w:r w:rsidRPr="00CF6679">
              <w:rPr>
                <w:rFonts w:ascii="Garamond" w:hAnsi="Garamond" w:cs="Arial"/>
                <w:b/>
                <w:bCs/>
                <w:sz w:val="22"/>
                <w:szCs w:val="22"/>
              </w:rPr>
              <w:t xml:space="preserve">Clase </w:t>
            </w:r>
          </w:p>
        </w:tc>
        <w:tc>
          <w:tcPr>
            <w:tcW w:w="1050" w:type="pct"/>
            <w:shd w:val="clear" w:color="auto" w:fill="F2F2F2"/>
            <w:tcMar>
              <w:top w:w="0" w:type="dxa"/>
              <w:left w:w="70" w:type="dxa"/>
              <w:bottom w:w="0" w:type="dxa"/>
              <w:right w:w="70" w:type="dxa"/>
            </w:tcMar>
            <w:vAlign w:val="center"/>
            <w:hideMark/>
          </w:tcPr>
          <w:p w14:paraId="6DCA2B34" w14:textId="77777777" w:rsidR="005A739E" w:rsidRPr="00CF6679" w:rsidRDefault="005A739E" w:rsidP="00865432">
            <w:pPr>
              <w:jc w:val="center"/>
              <w:rPr>
                <w:rFonts w:ascii="Garamond" w:hAnsi="Garamond" w:cs="Arial"/>
                <w:b/>
                <w:bCs/>
                <w:sz w:val="22"/>
                <w:szCs w:val="22"/>
              </w:rPr>
            </w:pPr>
            <w:r w:rsidRPr="00CF6679">
              <w:rPr>
                <w:rFonts w:ascii="Garamond" w:hAnsi="Garamond" w:cs="Arial"/>
                <w:b/>
                <w:bCs/>
                <w:sz w:val="22"/>
                <w:szCs w:val="22"/>
              </w:rPr>
              <w:t xml:space="preserve">Producto </w:t>
            </w:r>
          </w:p>
        </w:tc>
        <w:tc>
          <w:tcPr>
            <w:tcW w:w="1050" w:type="pct"/>
            <w:shd w:val="clear" w:color="auto" w:fill="F2F2F2"/>
          </w:tcPr>
          <w:p w14:paraId="7FE862F9" w14:textId="77777777" w:rsidR="005A739E" w:rsidRPr="00CF6679" w:rsidRDefault="005A739E" w:rsidP="00865432">
            <w:pPr>
              <w:jc w:val="center"/>
              <w:rPr>
                <w:rFonts w:ascii="Garamond" w:hAnsi="Garamond" w:cs="Arial"/>
                <w:b/>
                <w:bCs/>
                <w:sz w:val="22"/>
                <w:szCs w:val="22"/>
              </w:rPr>
            </w:pPr>
            <w:r w:rsidRPr="00CF6679">
              <w:rPr>
                <w:rFonts w:ascii="Garamond" w:hAnsi="Garamond" w:cs="Arial"/>
                <w:b/>
                <w:bCs/>
                <w:sz w:val="22"/>
                <w:szCs w:val="22"/>
              </w:rPr>
              <w:t xml:space="preserve">Código </w:t>
            </w:r>
          </w:p>
        </w:tc>
      </w:tr>
      <w:tr w:rsidR="005A739E" w:rsidRPr="00CF6679" w14:paraId="62536096" w14:textId="77777777" w:rsidTr="00865432">
        <w:trPr>
          <w:trHeight w:val="238"/>
        </w:trPr>
        <w:tc>
          <w:tcPr>
            <w:tcW w:w="644" w:type="pct"/>
            <w:tcMar>
              <w:top w:w="0" w:type="dxa"/>
              <w:left w:w="70" w:type="dxa"/>
              <w:bottom w:w="0" w:type="dxa"/>
              <w:right w:w="70" w:type="dxa"/>
            </w:tcMar>
            <w:vAlign w:val="center"/>
            <w:hideMark/>
          </w:tcPr>
          <w:p w14:paraId="2C8B2D8D" w14:textId="77777777" w:rsidR="005A739E" w:rsidRPr="00CF6679" w:rsidRDefault="00E47AC5" w:rsidP="00865432">
            <w:pPr>
              <w:jc w:val="center"/>
              <w:rPr>
                <w:rFonts w:ascii="Garamond" w:hAnsi="Garamond" w:cs="Arial"/>
                <w:bCs/>
                <w:sz w:val="22"/>
                <w:szCs w:val="22"/>
              </w:rPr>
            </w:pPr>
            <w:r w:rsidRPr="00CF6679">
              <w:rPr>
                <w:rFonts w:ascii="Garamond" w:hAnsi="Garamond" w:cs="Arial"/>
                <w:bCs/>
                <w:sz w:val="22"/>
                <w:szCs w:val="22"/>
              </w:rPr>
              <w:t xml:space="preserve">86 </w:t>
            </w:r>
          </w:p>
          <w:p w14:paraId="0D6A462F" w14:textId="772141DB" w:rsidR="00E47AC5" w:rsidRPr="00CF6679" w:rsidRDefault="00E47AC5" w:rsidP="00865432">
            <w:pPr>
              <w:jc w:val="center"/>
              <w:rPr>
                <w:rFonts w:ascii="Garamond" w:hAnsi="Garamond" w:cs="Arial"/>
                <w:bCs/>
                <w:sz w:val="22"/>
                <w:szCs w:val="22"/>
              </w:rPr>
            </w:pPr>
            <w:r w:rsidRPr="00CF6679">
              <w:rPr>
                <w:rFonts w:ascii="Garamond" w:hAnsi="Garamond" w:cs="Arial"/>
                <w:bCs/>
                <w:sz w:val="22"/>
                <w:szCs w:val="22"/>
              </w:rPr>
              <w:t xml:space="preserve">Servicio de Educación y de Formación </w:t>
            </w:r>
          </w:p>
        </w:tc>
        <w:tc>
          <w:tcPr>
            <w:tcW w:w="1237" w:type="pct"/>
            <w:shd w:val="clear" w:color="auto" w:fill="auto"/>
            <w:tcMar>
              <w:top w:w="0" w:type="dxa"/>
              <w:left w:w="70" w:type="dxa"/>
              <w:bottom w:w="0" w:type="dxa"/>
              <w:right w:w="70" w:type="dxa"/>
            </w:tcMar>
            <w:vAlign w:val="center"/>
            <w:hideMark/>
          </w:tcPr>
          <w:p w14:paraId="21633DAC" w14:textId="77777777" w:rsidR="005A739E" w:rsidRPr="00CF6679" w:rsidRDefault="00E47AC5" w:rsidP="00865432">
            <w:pPr>
              <w:jc w:val="center"/>
              <w:rPr>
                <w:rFonts w:ascii="Garamond" w:hAnsi="Garamond" w:cs="Arial"/>
                <w:bCs/>
                <w:sz w:val="22"/>
                <w:szCs w:val="22"/>
              </w:rPr>
            </w:pPr>
            <w:r w:rsidRPr="00CF6679">
              <w:rPr>
                <w:rFonts w:ascii="Garamond" w:hAnsi="Garamond" w:cs="Arial"/>
                <w:bCs/>
                <w:sz w:val="22"/>
                <w:szCs w:val="22"/>
              </w:rPr>
              <w:t xml:space="preserve">12 </w:t>
            </w:r>
          </w:p>
          <w:p w14:paraId="41132AAD" w14:textId="2AFEFD14" w:rsidR="00E47AC5" w:rsidRPr="00CF6679" w:rsidRDefault="00E47AC5" w:rsidP="00865432">
            <w:pPr>
              <w:jc w:val="center"/>
              <w:rPr>
                <w:rFonts w:ascii="Garamond" w:hAnsi="Garamond" w:cs="Arial"/>
                <w:bCs/>
                <w:sz w:val="22"/>
                <w:szCs w:val="22"/>
              </w:rPr>
            </w:pPr>
            <w:r w:rsidRPr="00CF6679">
              <w:rPr>
                <w:rFonts w:ascii="Garamond" w:hAnsi="Garamond" w:cs="Arial"/>
                <w:bCs/>
                <w:sz w:val="22"/>
                <w:szCs w:val="22"/>
              </w:rPr>
              <w:t xml:space="preserve">Instituciones educativas </w:t>
            </w:r>
          </w:p>
        </w:tc>
        <w:tc>
          <w:tcPr>
            <w:tcW w:w="1019" w:type="pct"/>
            <w:tcMar>
              <w:top w:w="0" w:type="dxa"/>
              <w:left w:w="70" w:type="dxa"/>
              <w:bottom w:w="0" w:type="dxa"/>
              <w:right w:w="70" w:type="dxa"/>
            </w:tcMar>
            <w:vAlign w:val="center"/>
            <w:hideMark/>
          </w:tcPr>
          <w:p w14:paraId="5B56C276" w14:textId="77777777" w:rsidR="005A739E" w:rsidRPr="00CF6679" w:rsidRDefault="00E47AC5" w:rsidP="00865432">
            <w:pPr>
              <w:jc w:val="center"/>
              <w:rPr>
                <w:rFonts w:ascii="Garamond" w:hAnsi="Garamond" w:cs="Arial"/>
                <w:bCs/>
                <w:sz w:val="22"/>
                <w:szCs w:val="22"/>
              </w:rPr>
            </w:pPr>
            <w:r w:rsidRPr="00CF6679">
              <w:rPr>
                <w:rFonts w:ascii="Garamond" w:hAnsi="Garamond" w:cs="Arial"/>
                <w:bCs/>
                <w:sz w:val="22"/>
                <w:szCs w:val="22"/>
              </w:rPr>
              <w:t xml:space="preserve">17 </w:t>
            </w:r>
          </w:p>
          <w:p w14:paraId="17591221" w14:textId="3AC5D92F" w:rsidR="00E47AC5" w:rsidRPr="00CF6679" w:rsidRDefault="00E47AC5" w:rsidP="00865432">
            <w:pPr>
              <w:jc w:val="center"/>
              <w:rPr>
                <w:rFonts w:ascii="Garamond" w:hAnsi="Garamond" w:cs="Arial"/>
                <w:bCs/>
                <w:sz w:val="22"/>
                <w:szCs w:val="22"/>
              </w:rPr>
            </w:pPr>
            <w:r w:rsidRPr="00CF6679">
              <w:rPr>
                <w:rFonts w:ascii="Garamond" w:hAnsi="Garamond" w:cs="Arial"/>
                <w:bCs/>
                <w:sz w:val="22"/>
                <w:szCs w:val="22"/>
              </w:rPr>
              <w:t xml:space="preserve">Universidades y Politécnicos </w:t>
            </w:r>
          </w:p>
        </w:tc>
        <w:tc>
          <w:tcPr>
            <w:tcW w:w="1050" w:type="pct"/>
            <w:tcMar>
              <w:top w:w="0" w:type="dxa"/>
              <w:left w:w="70" w:type="dxa"/>
              <w:bottom w:w="0" w:type="dxa"/>
              <w:right w:w="70" w:type="dxa"/>
            </w:tcMar>
            <w:vAlign w:val="center"/>
            <w:hideMark/>
          </w:tcPr>
          <w:p w14:paraId="3F7A2DB8" w14:textId="77777777" w:rsidR="005A739E" w:rsidRPr="00CF6679" w:rsidRDefault="00E47AC5" w:rsidP="00865432">
            <w:pPr>
              <w:jc w:val="center"/>
              <w:rPr>
                <w:rFonts w:ascii="Garamond" w:hAnsi="Garamond" w:cs="Arial"/>
                <w:bCs/>
                <w:sz w:val="22"/>
                <w:szCs w:val="22"/>
              </w:rPr>
            </w:pPr>
            <w:r w:rsidRPr="00CF6679">
              <w:rPr>
                <w:rFonts w:ascii="Garamond" w:hAnsi="Garamond" w:cs="Arial"/>
                <w:bCs/>
                <w:sz w:val="22"/>
                <w:szCs w:val="22"/>
              </w:rPr>
              <w:t xml:space="preserve">01 </w:t>
            </w:r>
          </w:p>
          <w:p w14:paraId="4F194950" w14:textId="44ABDB02" w:rsidR="00E47AC5" w:rsidRPr="00CF6679" w:rsidRDefault="00E47AC5" w:rsidP="00E47AC5">
            <w:pPr>
              <w:jc w:val="center"/>
              <w:rPr>
                <w:rFonts w:ascii="Garamond" w:hAnsi="Garamond" w:cs="Arial"/>
                <w:bCs/>
                <w:sz w:val="22"/>
                <w:szCs w:val="22"/>
              </w:rPr>
            </w:pPr>
            <w:r w:rsidRPr="00CF6679">
              <w:rPr>
                <w:rFonts w:ascii="Garamond" w:hAnsi="Garamond" w:cs="Arial"/>
                <w:bCs/>
                <w:sz w:val="22"/>
                <w:szCs w:val="22"/>
              </w:rPr>
              <w:t>Programa de pregrado</w:t>
            </w:r>
          </w:p>
        </w:tc>
        <w:tc>
          <w:tcPr>
            <w:tcW w:w="1050" w:type="pct"/>
          </w:tcPr>
          <w:p w14:paraId="082EADDB" w14:textId="77777777" w:rsidR="00E47AC5" w:rsidRPr="00CF6679" w:rsidRDefault="00E47AC5" w:rsidP="00865432">
            <w:pPr>
              <w:jc w:val="center"/>
              <w:rPr>
                <w:rFonts w:ascii="Garamond" w:hAnsi="Garamond" w:cs="Arial"/>
                <w:bCs/>
                <w:sz w:val="22"/>
                <w:szCs w:val="22"/>
              </w:rPr>
            </w:pPr>
          </w:p>
          <w:p w14:paraId="181E6D4A" w14:textId="548E6F4E" w:rsidR="005A739E" w:rsidRPr="00CF6679" w:rsidRDefault="00E47AC5" w:rsidP="00E47AC5">
            <w:pPr>
              <w:jc w:val="center"/>
              <w:rPr>
                <w:rFonts w:ascii="Garamond" w:hAnsi="Garamond" w:cs="Arial"/>
                <w:bCs/>
                <w:sz w:val="22"/>
                <w:szCs w:val="22"/>
              </w:rPr>
            </w:pPr>
            <w:r w:rsidRPr="00CF6679">
              <w:rPr>
                <w:rFonts w:ascii="Garamond" w:hAnsi="Garamond" w:cs="Arial"/>
                <w:bCs/>
                <w:sz w:val="22"/>
                <w:szCs w:val="22"/>
              </w:rPr>
              <w:t>86121701</w:t>
            </w:r>
          </w:p>
        </w:tc>
      </w:tr>
    </w:tbl>
    <w:p w14:paraId="7913CFB4" w14:textId="613F1B7A" w:rsidR="00D4415B" w:rsidRPr="00CF6679" w:rsidRDefault="00D4415B" w:rsidP="007367AF">
      <w:pPr>
        <w:tabs>
          <w:tab w:val="left" w:pos="1680"/>
        </w:tabs>
        <w:jc w:val="both"/>
        <w:rPr>
          <w:rFonts w:ascii="Garamond" w:hAnsi="Garamond" w:cs="Arial"/>
          <w:b/>
        </w:rPr>
      </w:pPr>
    </w:p>
    <w:p w14:paraId="0EEBA6D7" w14:textId="46238031" w:rsidR="00D4415B" w:rsidRPr="00CF6679" w:rsidRDefault="00D4415B" w:rsidP="007367AF">
      <w:pPr>
        <w:tabs>
          <w:tab w:val="left" w:pos="1680"/>
        </w:tabs>
        <w:jc w:val="both"/>
        <w:rPr>
          <w:rFonts w:ascii="Garamond" w:hAnsi="Garamond" w:cs="Arial"/>
          <w:b/>
        </w:rPr>
      </w:pPr>
    </w:p>
    <w:p w14:paraId="7F07AE17" w14:textId="38166550" w:rsidR="00D4415B" w:rsidRPr="00CF6679" w:rsidRDefault="00D4415B" w:rsidP="001310CC">
      <w:pPr>
        <w:pStyle w:val="Prrafodelista"/>
        <w:numPr>
          <w:ilvl w:val="2"/>
          <w:numId w:val="6"/>
        </w:numPr>
        <w:jc w:val="both"/>
        <w:rPr>
          <w:rFonts w:ascii="Garamond" w:hAnsi="Garamond"/>
          <w:b/>
          <w:sz w:val="24"/>
          <w:szCs w:val="24"/>
        </w:rPr>
      </w:pPr>
      <w:r w:rsidRPr="00CF6679">
        <w:rPr>
          <w:rFonts w:ascii="Garamond" w:hAnsi="Garamond"/>
          <w:b/>
          <w:sz w:val="24"/>
          <w:szCs w:val="24"/>
        </w:rPr>
        <w:t xml:space="preserve">Metas y presupuestos </w:t>
      </w:r>
    </w:p>
    <w:p w14:paraId="75FD1531" w14:textId="6611F168" w:rsidR="00D4415B" w:rsidRDefault="00D4415B" w:rsidP="007367AF">
      <w:pPr>
        <w:jc w:val="both"/>
        <w:rPr>
          <w:rFonts w:ascii="Garamond" w:hAnsi="Garamond" w:cstheme="minorBidi"/>
          <w:b/>
          <w:sz w:val="24"/>
          <w:szCs w:val="24"/>
        </w:rPr>
      </w:pPr>
      <w:r w:rsidRPr="00CF6679">
        <w:rPr>
          <w:rFonts w:ascii="Garamond" w:hAnsi="Garamond" w:cstheme="minorBidi"/>
          <w:b/>
          <w:sz w:val="24"/>
          <w:szCs w:val="24"/>
        </w:rPr>
        <w:t>La siguiente tabla especifica las metas y los recursos asignados:</w:t>
      </w:r>
    </w:p>
    <w:p w14:paraId="69628ADA" w14:textId="7FDBD834" w:rsidR="00D4415B" w:rsidRDefault="00D4415B" w:rsidP="007367AF">
      <w:pPr>
        <w:jc w:val="both"/>
        <w:rPr>
          <w:rFonts w:ascii="Garamond" w:hAnsi="Garamond" w:cstheme="minorBidi"/>
          <w:b/>
          <w:sz w:val="24"/>
          <w:szCs w:val="24"/>
        </w:rPr>
      </w:pPr>
    </w:p>
    <w:tbl>
      <w:tblPr>
        <w:tblW w:w="917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3"/>
        <w:gridCol w:w="2183"/>
        <w:gridCol w:w="1285"/>
        <w:gridCol w:w="1485"/>
        <w:gridCol w:w="1087"/>
        <w:gridCol w:w="1891"/>
      </w:tblGrid>
      <w:tr w:rsidR="00D4415B" w:rsidRPr="00D4415B" w14:paraId="17EC9B83" w14:textId="77777777" w:rsidTr="002C6746">
        <w:trPr>
          <w:trHeight w:val="437"/>
        </w:trPr>
        <w:tc>
          <w:tcPr>
            <w:tcW w:w="1243" w:type="dxa"/>
            <w:shd w:val="clear" w:color="auto" w:fill="D9D9D9" w:themeFill="background1" w:themeFillShade="D9"/>
            <w:noWrap/>
            <w:vAlign w:val="center"/>
            <w:hideMark/>
          </w:tcPr>
          <w:p w14:paraId="5914C051" w14:textId="77777777" w:rsidR="00D4415B" w:rsidRPr="002C6746" w:rsidRDefault="00D4415B" w:rsidP="00D4415B">
            <w:pPr>
              <w:jc w:val="center"/>
              <w:rPr>
                <w:rFonts w:ascii="Garamond" w:hAnsi="Garamond" w:cs="Calibri"/>
                <w:b/>
                <w:bCs/>
                <w:kern w:val="2"/>
                <w:sz w:val="22"/>
                <w:szCs w:val="22"/>
                <w:lang w:eastAsia="es-CO"/>
                <w14:ligatures w14:val="standardContextual"/>
              </w:rPr>
            </w:pPr>
            <w:r w:rsidRPr="002C6746">
              <w:rPr>
                <w:rFonts w:ascii="Garamond" w:hAnsi="Garamond" w:cs="Calibri"/>
                <w:b/>
                <w:bCs/>
                <w:kern w:val="2"/>
                <w:sz w:val="22"/>
                <w:szCs w:val="22"/>
                <w:lang w:eastAsia="es-CO"/>
                <w14:ligatures w14:val="standardContextual"/>
              </w:rPr>
              <w:t>Localidad</w:t>
            </w:r>
          </w:p>
        </w:tc>
        <w:tc>
          <w:tcPr>
            <w:tcW w:w="2183" w:type="dxa"/>
            <w:shd w:val="clear" w:color="auto" w:fill="D9D9D9" w:themeFill="background1" w:themeFillShade="D9"/>
            <w:noWrap/>
            <w:vAlign w:val="center"/>
            <w:hideMark/>
          </w:tcPr>
          <w:p w14:paraId="0C22DB2A" w14:textId="77777777" w:rsidR="00D4415B" w:rsidRPr="002C6746" w:rsidRDefault="00D4415B" w:rsidP="00D4415B">
            <w:pPr>
              <w:jc w:val="center"/>
              <w:rPr>
                <w:rFonts w:ascii="Garamond" w:hAnsi="Garamond" w:cs="Calibri"/>
                <w:b/>
                <w:bCs/>
                <w:kern w:val="2"/>
                <w:sz w:val="22"/>
                <w:szCs w:val="22"/>
                <w:lang w:eastAsia="es-CO"/>
                <w14:ligatures w14:val="standardContextual"/>
              </w:rPr>
            </w:pPr>
            <w:r w:rsidRPr="002C6746">
              <w:rPr>
                <w:rFonts w:ascii="Garamond" w:hAnsi="Garamond" w:cs="Calibri"/>
                <w:b/>
                <w:bCs/>
                <w:kern w:val="2"/>
                <w:sz w:val="22"/>
                <w:szCs w:val="22"/>
                <w:lang w:eastAsia="es-CO"/>
                <w14:ligatures w14:val="standardContextual"/>
              </w:rPr>
              <w:t>Nombre del proyecto de inversión</w:t>
            </w:r>
          </w:p>
        </w:tc>
        <w:tc>
          <w:tcPr>
            <w:tcW w:w="1285" w:type="dxa"/>
            <w:shd w:val="clear" w:color="auto" w:fill="D9D9D9" w:themeFill="background1" w:themeFillShade="D9"/>
            <w:vAlign w:val="bottom"/>
            <w:hideMark/>
          </w:tcPr>
          <w:p w14:paraId="303E97C6" w14:textId="77777777" w:rsidR="00D4415B" w:rsidRPr="002C6746" w:rsidRDefault="00D4415B" w:rsidP="00D4415B">
            <w:pPr>
              <w:jc w:val="center"/>
              <w:rPr>
                <w:rFonts w:ascii="Garamond" w:hAnsi="Garamond" w:cs="Calibri"/>
                <w:b/>
                <w:bCs/>
                <w:kern w:val="2"/>
                <w:sz w:val="22"/>
                <w:szCs w:val="22"/>
                <w:lang w:eastAsia="es-CO"/>
                <w14:ligatures w14:val="standardContextual"/>
              </w:rPr>
            </w:pPr>
            <w:r w:rsidRPr="002C6746">
              <w:rPr>
                <w:rFonts w:ascii="Garamond" w:hAnsi="Garamond" w:cs="Calibri"/>
                <w:b/>
                <w:bCs/>
                <w:kern w:val="2"/>
                <w:sz w:val="22"/>
                <w:szCs w:val="22"/>
                <w:lang w:eastAsia="es-CO"/>
                <w14:ligatures w14:val="standardContextual"/>
              </w:rPr>
              <w:t>Número de proyecto de inversión</w:t>
            </w:r>
          </w:p>
        </w:tc>
        <w:tc>
          <w:tcPr>
            <w:tcW w:w="1485" w:type="dxa"/>
            <w:shd w:val="clear" w:color="auto" w:fill="D9D9D9" w:themeFill="background1" w:themeFillShade="D9"/>
            <w:vAlign w:val="center"/>
            <w:hideMark/>
          </w:tcPr>
          <w:p w14:paraId="6C5165A3" w14:textId="77777777" w:rsidR="00D4415B" w:rsidRPr="002C6746" w:rsidRDefault="00D4415B" w:rsidP="00D4415B">
            <w:pPr>
              <w:jc w:val="center"/>
              <w:rPr>
                <w:rFonts w:ascii="Garamond" w:hAnsi="Garamond" w:cs="Calibri"/>
                <w:b/>
                <w:bCs/>
                <w:kern w:val="2"/>
                <w:sz w:val="22"/>
                <w:szCs w:val="22"/>
                <w:lang w:eastAsia="es-CO"/>
                <w14:ligatures w14:val="standardContextual"/>
              </w:rPr>
            </w:pPr>
            <w:r w:rsidRPr="002C6746">
              <w:rPr>
                <w:rFonts w:ascii="Garamond" w:hAnsi="Garamond" w:cs="Calibri"/>
                <w:b/>
                <w:bCs/>
                <w:kern w:val="2"/>
                <w:sz w:val="22"/>
                <w:szCs w:val="22"/>
                <w:lang w:eastAsia="es-CO"/>
                <w14:ligatures w14:val="standardContextual"/>
              </w:rPr>
              <w:t>Componente</w:t>
            </w:r>
          </w:p>
        </w:tc>
        <w:tc>
          <w:tcPr>
            <w:tcW w:w="1563" w:type="dxa"/>
            <w:shd w:val="clear" w:color="auto" w:fill="D9D9D9" w:themeFill="background1" w:themeFillShade="D9"/>
          </w:tcPr>
          <w:p w14:paraId="09B50ED6" w14:textId="77777777" w:rsidR="00D4415B" w:rsidRPr="002C6746" w:rsidRDefault="00D4415B" w:rsidP="00D4415B">
            <w:pPr>
              <w:jc w:val="center"/>
              <w:rPr>
                <w:rFonts w:ascii="Garamond" w:hAnsi="Garamond" w:cs="Calibri"/>
                <w:b/>
                <w:bCs/>
                <w:kern w:val="2"/>
                <w:sz w:val="22"/>
                <w:szCs w:val="22"/>
                <w:lang w:eastAsia="es-CO"/>
                <w14:ligatures w14:val="standardContextual"/>
              </w:rPr>
            </w:pPr>
          </w:p>
          <w:p w14:paraId="0206DB86" w14:textId="77777777" w:rsidR="00D4415B" w:rsidRPr="002C6746" w:rsidRDefault="00D4415B" w:rsidP="00D4415B">
            <w:pPr>
              <w:jc w:val="center"/>
              <w:rPr>
                <w:rFonts w:ascii="Garamond" w:hAnsi="Garamond" w:cs="Calibri"/>
                <w:b/>
                <w:bCs/>
                <w:kern w:val="2"/>
                <w:sz w:val="22"/>
                <w:szCs w:val="22"/>
                <w:lang w:eastAsia="es-CO"/>
                <w14:ligatures w14:val="standardContextual"/>
              </w:rPr>
            </w:pPr>
          </w:p>
          <w:p w14:paraId="5C20447F" w14:textId="77777777" w:rsidR="00D4415B" w:rsidRPr="002C6746" w:rsidRDefault="00D4415B" w:rsidP="00D4415B">
            <w:pPr>
              <w:jc w:val="center"/>
              <w:rPr>
                <w:rFonts w:ascii="Garamond" w:hAnsi="Garamond" w:cs="Calibri"/>
                <w:b/>
                <w:bCs/>
                <w:kern w:val="2"/>
                <w:sz w:val="22"/>
                <w:szCs w:val="22"/>
                <w:lang w:eastAsia="es-CO"/>
                <w14:ligatures w14:val="standardContextual"/>
              </w:rPr>
            </w:pPr>
            <w:r w:rsidRPr="002C6746">
              <w:rPr>
                <w:rFonts w:ascii="Garamond" w:hAnsi="Garamond" w:cs="Calibri"/>
                <w:b/>
                <w:bCs/>
                <w:kern w:val="2"/>
                <w:sz w:val="22"/>
                <w:szCs w:val="22"/>
                <w:lang w:eastAsia="es-CO"/>
                <w14:ligatures w14:val="standardContextual"/>
              </w:rPr>
              <w:t>*Meta</w:t>
            </w:r>
          </w:p>
        </w:tc>
        <w:tc>
          <w:tcPr>
            <w:tcW w:w="1415" w:type="dxa"/>
            <w:shd w:val="clear" w:color="auto" w:fill="D9D9D9" w:themeFill="background1" w:themeFillShade="D9"/>
            <w:vAlign w:val="center"/>
            <w:hideMark/>
          </w:tcPr>
          <w:p w14:paraId="5CF0AB68" w14:textId="77777777" w:rsidR="00D4415B" w:rsidRPr="002C6746" w:rsidRDefault="00D4415B" w:rsidP="00D4415B">
            <w:pPr>
              <w:jc w:val="center"/>
              <w:rPr>
                <w:rFonts w:ascii="Garamond" w:hAnsi="Garamond" w:cs="Calibri"/>
                <w:b/>
                <w:bCs/>
                <w:kern w:val="2"/>
                <w:sz w:val="22"/>
                <w:szCs w:val="22"/>
                <w:lang w:eastAsia="es-CO"/>
                <w14:ligatures w14:val="standardContextual"/>
              </w:rPr>
            </w:pPr>
            <w:r w:rsidRPr="002C6746">
              <w:rPr>
                <w:rFonts w:ascii="Garamond" w:hAnsi="Garamond" w:cs="Calibri"/>
                <w:b/>
                <w:bCs/>
                <w:kern w:val="2"/>
                <w:sz w:val="22"/>
                <w:szCs w:val="22"/>
                <w:lang w:eastAsia="es-CO"/>
                <w14:ligatures w14:val="standardContextual"/>
              </w:rPr>
              <w:t xml:space="preserve">*Recursos </w:t>
            </w:r>
          </w:p>
        </w:tc>
      </w:tr>
      <w:tr w:rsidR="00D4415B" w:rsidRPr="00D4415B" w14:paraId="0F3E468F" w14:textId="77777777" w:rsidTr="00D4415B">
        <w:trPr>
          <w:trHeight w:val="142"/>
        </w:trPr>
        <w:tc>
          <w:tcPr>
            <w:tcW w:w="1243" w:type="dxa"/>
            <w:vMerge w:val="restart"/>
            <w:shd w:val="clear" w:color="auto" w:fill="auto"/>
            <w:noWrap/>
            <w:vAlign w:val="center"/>
            <w:hideMark/>
          </w:tcPr>
          <w:p w14:paraId="5ECC0FE8" w14:textId="437D17E0" w:rsidR="00D4415B" w:rsidRPr="002C6746" w:rsidRDefault="00311483" w:rsidP="00D4415B">
            <w:pPr>
              <w:jc w:val="center"/>
              <w:rPr>
                <w:rFonts w:ascii="Garamond" w:hAnsi="Garamond" w:cs="Calibri"/>
                <w:kern w:val="2"/>
                <w:sz w:val="22"/>
                <w:szCs w:val="22"/>
                <w:lang w:eastAsia="es-CO"/>
                <w14:ligatures w14:val="standardContextual"/>
              </w:rPr>
            </w:pPr>
            <w:r>
              <w:rPr>
                <w:rFonts w:ascii="Garamond" w:hAnsi="Garamond" w:cs="Calibri"/>
                <w:kern w:val="2"/>
                <w:sz w:val="22"/>
                <w:szCs w:val="22"/>
                <w:lang w:eastAsia="es-CO"/>
                <w14:ligatures w14:val="standardContextual"/>
              </w:rPr>
              <w:t>Los Mártires</w:t>
            </w:r>
          </w:p>
        </w:tc>
        <w:tc>
          <w:tcPr>
            <w:tcW w:w="2183" w:type="dxa"/>
            <w:vMerge w:val="restart"/>
            <w:shd w:val="clear" w:color="auto" w:fill="auto"/>
            <w:vAlign w:val="center"/>
          </w:tcPr>
          <w:p w14:paraId="558B1FA8" w14:textId="3769F08E" w:rsidR="00D4415B" w:rsidRPr="002C6746" w:rsidRDefault="00A4218B" w:rsidP="00D4415B">
            <w:pPr>
              <w:jc w:val="center"/>
              <w:rPr>
                <w:rFonts w:ascii="Garamond" w:eastAsia="Calibri" w:hAnsi="Garamond" w:cs="Calibri"/>
                <w:kern w:val="2"/>
                <w:sz w:val="22"/>
                <w:szCs w:val="22"/>
                <w:lang w:eastAsia="es-CO"/>
                <w14:ligatures w14:val="standardContextual"/>
              </w:rPr>
            </w:pPr>
            <w:r>
              <w:rPr>
                <w:rFonts w:ascii="Garamond" w:eastAsia="Calibri" w:hAnsi="Garamond" w:cs="Calibri"/>
                <w:kern w:val="2"/>
                <w:sz w:val="22"/>
                <w:szCs w:val="22"/>
                <w:lang w:eastAsia="es-CO"/>
                <w14:ligatures w14:val="standardContextual"/>
              </w:rPr>
              <w:t xml:space="preserve">Mártires confía y le apuesta a su potencial </w:t>
            </w:r>
          </w:p>
        </w:tc>
        <w:tc>
          <w:tcPr>
            <w:tcW w:w="1285" w:type="dxa"/>
            <w:vMerge w:val="restart"/>
            <w:shd w:val="clear" w:color="auto" w:fill="auto"/>
            <w:noWrap/>
            <w:vAlign w:val="center"/>
          </w:tcPr>
          <w:p w14:paraId="554A4AD8" w14:textId="0D1EA975" w:rsidR="00D4415B" w:rsidRPr="002C6746" w:rsidRDefault="00A4218B" w:rsidP="00D4415B">
            <w:pPr>
              <w:jc w:val="center"/>
              <w:rPr>
                <w:rFonts w:ascii="Garamond" w:hAnsi="Garamond" w:cs="Calibri"/>
                <w:kern w:val="2"/>
                <w:sz w:val="22"/>
                <w:szCs w:val="22"/>
                <w:lang w:eastAsia="es-CO"/>
                <w14:ligatures w14:val="standardContextual"/>
              </w:rPr>
            </w:pPr>
            <w:r>
              <w:rPr>
                <w:rFonts w:ascii="Garamond" w:hAnsi="Garamond" w:cs="Calibri"/>
                <w:kern w:val="2"/>
                <w:sz w:val="22"/>
                <w:szCs w:val="22"/>
                <w:lang w:eastAsia="es-CO"/>
                <w14:ligatures w14:val="standardContextual"/>
              </w:rPr>
              <w:t>2749</w:t>
            </w:r>
          </w:p>
        </w:tc>
        <w:tc>
          <w:tcPr>
            <w:tcW w:w="1485" w:type="dxa"/>
            <w:shd w:val="clear" w:color="auto" w:fill="auto"/>
            <w:noWrap/>
            <w:vAlign w:val="center"/>
          </w:tcPr>
          <w:p w14:paraId="1E262001" w14:textId="77777777" w:rsidR="00D4415B" w:rsidRPr="002C6746" w:rsidRDefault="00D4415B" w:rsidP="00D4415B">
            <w:pPr>
              <w:jc w:val="center"/>
              <w:rPr>
                <w:rFonts w:ascii="Garamond" w:hAnsi="Garamond" w:cs="Calibri"/>
                <w:kern w:val="2"/>
                <w:sz w:val="22"/>
                <w:szCs w:val="22"/>
                <w:lang w:eastAsia="es-CO"/>
                <w14:ligatures w14:val="standardContextual"/>
              </w:rPr>
            </w:pPr>
            <w:r w:rsidRPr="002C6746">
              <w:rPr>
                <w:rFonts w:ascii="Garamond" w:hAnsi="Garamond" w:cs="Calibri"/>
                <w:kern w:val="2"/>
                <w:sz w:val="22"/>
                <w:szCs w:val="22"/>
                <w:lang w:eastAsia="es-CO"/>
                <w14:ligatures w14:val="standardContextual"/>
              </w:rPr>
              <w:t>Acceso</w:t>
            </w:r>
          </w:p>
        </w:tc>
        <w:tc>
          <w:tcPr>
            <w:tcW w:w="1563" w:type="dxa"/>
          </w:tcPr>
          <w:p w14:paraId="37A6908B" w14:textId="7D601ED4" w:rsidR="00D4415B" w:rsidRPr="002C6746" w:rsidRDefault="008E2A3D" w:rsidP="00D4415B">
            <w:pPr>
              <w:jc w:val="center"/>
              <w:rPr>
                <w:rFonts w:ascii="Garamond" w:eastAsia="Calibri" w:hAnsi="Garamond" w:cs="Calibri"/>
                <w:kern w:val="2"/>
                <w:sz w:val="22"/>
                <w:szCs w:val="22"/>
                <w:lang w:eastAsia="en-US"/>
                <w14:ligatures w14:val="standardContextual"/>
              </w:rPr>
            </w:pPr>
            <w:r>
              <w:rPr>
                <w:rFonts w:ascii="Garamond" w:eastAsia="Calibri" w:hAnsi="Garamond" w:cs="Calibri"/>
                <w:kern w:val="2"/>
                <w:sz w:val="22"/>
                <w:szCs w:val="22"/>
                <w:lang w:eastAsia="en-US"/>
                <w14:ligatures w14:val="standardContextual"/>
              </w:rPr>
              <w:t>50</w:t>
            </w:r>
          </w:p>
        </w:tc>
        <w:tc>
          <w:tcPr>
            <w:tcW w:w="1415" w:type="dxa"/>
            <w:shd w:val="clear" w:color="auto" w:fill="auto"/>
            <w:noWrap/>
          </w:tcPr>
          <w:p w14:paraId="0C03F798" w14:textId="3CBEB07C" w:rsidR="00D4415B" w:rsidRPr="002C6746" w:rsidRDefault="00311483" w:rsidP="00D4415B">
            <w:pPr>
              <w:jc w:val="center"/>
              <w:rPr>
                <w:rFonts w:ascii="Garamond" w:hAnsi="Garamond" w:cs="Calibri"/>
                <w:kern w:val="2"/>
                <w:sz w:val="22"/>
                <w:szCs w:val="22"/>
                <w:lang w:eastAsia="es-CO"/>
                <w14:ligatures w14:val="standardContextual"/>
              </w:rPr>
            </w:pPr>
            <w:r>
              <w:rPr>
                <w:rFonts w:ascii="Garamond" w:eastAsia="Calibri" w:hAnsi="Garamond" w:cs="Calibri"/>
                <w:kern w:val="2"/>
                <w:sz w:val="22"/>
                <w:szCs w:val="22"/>
                <w:lang w:val="es-ES" w:eastAsia="en-US"/>
                <w14:ligatures w14:val="standardContextual"/>
              </w:rPr>
              <w:t>$</w:t>
            </w:r>
            <w:r w:rsidR="008D1609">
              <w:rPr>
                <w:rFonts w:ascii="Garamond" w:eastAsia="Calibri" w:hAnsi="Garamond" w:cs="Calibri"/>
                <w:kern w:val="2"/>
                <w:sz w:val="22"/>
                <w:szCs w:val="22"/>
                <w:lang w:val="es-ES" w:eastAsia="en-US"/>
                <w14:ligatures w14:val="standardContextual"/>
              </w:rPr>
              <w:t>2.826.000.000</w:t>
            </w:r>
          </w:p>
        </w:tc>
      </w:tr>
      <w:tr w:rsidR="00D4415B" w:rsidRPr="00D4415B" w14:paraId="240671A0" w14:textId="77777777" w:rsidTr="00D4415B">
        <w:trPr>
          <w:trHeight w:val="215"/>
        </w:trPr>
        <w:tc>
          <w:tcPr>
            <w:tcW w:w="1243" w:type="dxa"/>
            <w:vMerge/>
            <w:vAlign w:val="center"/>
            <w:hideMark/>
          </w:tcPr>
          <w:p w14:paraId="31023108" w14:textId="77777777" w:rsidR="00D4415B" w:rsidRPr="00AC37FF" w:rsidRDefault="00D4415B" w:rsidP="00D4415B">
            <w:pPr>
              <w:rPr>
                <w:rFonts w:ascii="Garamond" w:hAnsi="Garamond" w:cs="Calibri"/>
                <w:kern w:val="2"/>
                <w:sz w:val="22"/>
                <w:szCs w:val="22"/>
                <w:lang w:eastAsia="es-CO"/>
                <w14:ligatures w14:val="standardContextual"/>
              </w:rPr>
            </w:pPr>
          </w:p>
        </w:tc>
        <w:tc>
          <w:tcPr>
            <w:tcW w:w="2183" w:type="dxa"/>
            <w:vMerge/>
            <w:vAlign w:val="center"/>
          </w:tcPr>
          <w:p w14:paraId="3C1FD5B3" w14:textId="77777777" w:rsidR="00D4415B" w:rsidRPr="00AC37FF" w:rsidRDefault="00D4415B" w:rsidP="00D4415B">
            <w:pPr>
              <w:rPr>
                <w:rFonts w:ascii="Garamond" w:hAnsi="Garamond" w:cs="Calibri"/>
                <w:kern w:val="2"/>
                <w:sz w:val="22"/>
                <w:szCs w:val="22"/>
                <w:lang w:eastAsia="es-CO"/>
                <w14:ligatures w14:val="standardContextual"/>
              </w:rPr>
            </w:pPr>
          </w:p>
        </w:tc>
        <w:tc>
          <w:tcPr>
            <w:tcW w:w="1285" w:type="dxa"/>
            <w:vMerge/>
            <w:vAlign w:val="center"/>
          </w:tcPr>
          <w:p w14:paraId="2C560D0B" w14:textId="77777777" w:rsidR="00D4415B" w:rsidRPr="00AC37FF" w:rsidRDefault="00D4415B" w:rsidP="00D4415B">
            <w:pPr>
              <w:rPr>
                <w:rFonts w:ascii="Garamond" w:hAnsi="Garamond" w:cs="Calibri"/>
                <w:kern w:val="2"/>
                <w:sz w:val="22"/>
                <w:szCs w:val="22"/>
                <w:lang w:eastAsia="es-CO"/>
                <w14:ligatures w14:val="standardContextual"/>
              </w:rPr>
            </w:pPr>
          </w:p>
        </w:tc>
        <w:tc>
          <w:tcPr>
            <w:tcW w:w="1485" w:type="dxa"/>
            <w:shd w:val="clear" w:color="auto" w:fill="auto"/>
            <w:noWrap/>
            <w:vAlign w:val="center"/>
          </w:tcPr>
          <w:p w14:paraId="7C3F30BD" w14:textId="77777777" w:rsidR="00D4415B" w:rsidRPr="00AC37FF" w:rsidRDefault="00D4415B" w:rsidP="00D4415B">
            <w:pPr>
              <w:jc w:val="center"/>
              <w:rPr>
                <w:rFonts w:ascii="Garamond" w:hAnsi="Garamond" w:cs="Calibri"/>
                <w:kern w:val="2"/>
                <w:sz w:val="22"/>
                <w:szCs w:val="22"/>
                <w:lang w:eastAsia="es-CO"/>
                <w14:ligatures w14:val="standardContextual"/>
              </w:rPr>
            </w:pPr>
            <w:r w:rsidRPr="00AC37FF">
              <w:rPr>
                <w:rFonts w:ascii="Garamond" w:hAnsi="Garamond" w:cs="Calibri"/>
                <w:kern w:val="2"/>
                <w:sz w:val="22"/>
                <w:szCs w:val="22"/>
                <w:lang w:eastAsia="es-CO"/>
                <w14:ligatures w14:val="standardContextual"/>
              </w:rPr>
              <w:t>Permanencia</w:t>
            </w:r>
          </w:p>
        </w:tc>
        <w:tc>
          <w:tcPr>
            <w:tcW w:w="1563" w:type="dxa"/>
          </w:tcPr>
          <w:p w14:paraId="1F3DC962" w14:textId="3B081D8C" w:rsidR="00D4415B" w:rsidRPr="00AC37FF" w:rsidRDefault="008E2A3D" w:rsidP="00D4415B">
            <w:pPr>
              <w:jc w:val="center"/>
              <w:rPr>
                <w:rFonts w:ascii="Garamond" w:hAnsi="Garamond" w:cs="Calibri"/>
                <w:kern w:val="2"/>
                <w:sz w:val="22"/>
                <w:szCs w:val="22"/>
                <w:lang w:eastAsia="es-CO"/>
                <w14:ligatures w14:val="standardContextual"/>
              </w:rPr>
            </w:pPr>
            <w:r>
              <w:rPr>
                <w:rFonts w:ascii="Garamond" w:hAnsi="Garamond" w:cs="Calibri"/>
                <w:kern w:val="2"/>
                <w:sz w:val="22"/>
                <w:szCs w:val="22"/>
                <w:lang w:eastAsia="es-CO"/>
                <w14:ligatures w14:val="standardContextual"/>
              </w:rPr>
              <w:t>50</w:t>
            </w:r>
          </w:p>
        </w:tc>
        <w:tc>
          <w:tcPr>
            <w:tcW w:w="1415" w:type="dxa"/>
            <w:shd w:val="clear" w:color="auto" w:fill="auto"/>
            <w:noWrap/>
          </w:tcPr>
          <w:p w14:paraId="20637EDC" w14:textId="06784EB6" w:rsidR="00D4415B" w:rsidRPr="00AC37FF" w:rsidRDefault="004C1C61" w:rsidP="00D4415B">
            <w:pPr>
              <w:jc w:val="center"/>
              <w:rPr>
                <w:rFonts w:ascii="Garamond" w:hAnsi="Garamond" w:cs="Calibri"/>
                <w:kern w:val="2"/>
                <w:sz w:val="22"/>
                <w:szCs w:val="22"/>
                <w:lang w:eastAsia="es-CO"/>
                <w14:ligatures w14:val="standardContextual"/>
              </w:rPr>
            </w:pPr>
            <w:r>
              <w:rPr>
                <w:rFonts w:ascii="Garamond" w:eastAsia="Calibri" w:hAnsi="Garamond" w:cs="Calibri"/>
                <w:kern w:val="2"/>
                <w:sz w:val="22"/>
                <w:szCs w:val="22"/>
                <w:lang w:val="es-ES" w:eastAsia="en-US"/>
                <w14:ligatures w14:val="standardContextual"/>
              </w:rPr>
              <w:t>$</w:t>
            </w:r>
            <w:r w:rsidR="008D1609">
              <w:rPr>
                <w:rFonts w:ascii="Garamond" w:eastAsia="Calibri" w:hAnsi="Garamond" w:cs="Calibri"/>
                <w:kern w:val="2"/>
                <w:sz w:val="22"/>
                <w:szCs w:val="22"/>
                <w:lang w:val="es-ES" w:eastAsia="en-US"/>
                <w14:ligatures w14:val="standardContextual"/>
              </w:rPr>
              <w:t>734.000.000</w:t>
            </w:r>
          </w:p>
        </w:tc>
      </w:tr>
      <w:tr w:rsidR="00D4415B" w:rsidRPr="00D4415B" w14:paraId="5BDC1333" w14:textId="77777777" w:rsidTr="00D4415B">
        <w:trPr>
          <w:trHeight w:val="215"/>
        </w:trPr>
        <w:tc>
          <w:tcPr>
            <w:tcW w:w="7759" w:type="dxa"/>
            <w:gridSpan w:val="5"/>
            <w:vAlign w:val="center"/>
          </w:tcPr>
          <w:p w14:paraId="2641C757" w14:textId="77777777" w:rsidR="00D4415B" w:rsidRPr="002C6746" w:rsidRDefault="00D4415B" w:rsidP="00D4415B">
            <w:pPr>
              <w:jc w:val="center"/>
              <w:rPr>
                <w:rFonts w:ascii="Garamond" w:hAnsi="Garamond" w:cs="Calibri"/>
                <w:kern w:val="2"/>
                <w:sz w:val="22"/>
                <w:szCs w:val="22"/>
                <w:lang w:eastAsia="es-CO"/>
                <w14:ligatures w14:val="standardContextual"/>
              </w:rPr>
            </w:pPr>
            <w:commentRangeStart w:id="7"/>
            <w:r w:rsidRPr="002C6746">
              <w:rPr>
                <w:rFonts w:ascii="Garamond" w:hAnsi="Garamond" w:cs="Calibri"/>
                <w:kern w:val="2"/>
                <w:sz w:val="22"/>
                <w:szCs w:val="22"/>
                <w:lang w:eastAsia="es-CO"/>
                <w14:ligatures w14:val="standardContextual"/>
              </w:rPr>
              <w:t>TOTAL</w:t>
            </w:r>
          </w:p>
        </w:tc>
        <w:tc>
          <w:tcPr>
            <w:tcW w:w="1415" w:type="dxa"/>
            <w:shd w:val="clear" w:color="auto" w:fill="auto"/>
            <w:noWrap/>
            <w:vAlign w:val="center"/>
          </w:tcPr>
          <w:p w14:paraId="448921A2" w14:textId="082F2C39" w:rsidR="00D4415B" w:rsidRPr="002C6746" w:rsidRDefault="00626C07" w:rsidP="00D4415B">
            <w:pPr>
              <w:jc w:val="center"/>
              <w:rPr>
                <w:rFonts w:ascii="Garamond" w:hAnsi="Garamond" w:cs="Calibri"/>
                <w:kern w:val="2"/>
                <w:sz w:val="22"/>
                <w:szCs w:val="22"/>
                <w:lang w:eastAsia="es-CO"/>
                <w14:ligatures w14:val="standardContextual"/>
              </w:rPr>
            </w:pPr>
            <w:r>
              <w:rPr>
                <w:rFonts w:ascii="Garamond" w:hAnsi="Garamond" w:cs="Calibri"/>
                <w:kern w:val="2"/>
                <w:sz w:val="22"/>
                <w:szCs w:val="22"/>
                <w:lang w:eastAsia="es-CO"/>
                <w14:ligatures w14:val="standardContextual"/>
              </w:rPr>
              <w:t>$</w:t>
            </w:r>
            <w:r w:rsidR="008D1609">
              <w:rPr>
                <w:rFonts w:ascii="Garamond" w:hAnsi="Garamond" w:cs="Calibri"/>
                <w:kern w:val="2"/>
                <w:sz w:val="22"/>
                <w:szCs w:val="22"/>
                <w:lang w:eastAsia="es-CO"/>
                <w14:ligatures w14:val="standardContextual"/>
              </w:rPr>
              <w:t>3.560.000.0000</w:t>
            </w:r>
            <w:commentRangeEnd w:id="7"/>
            <w:r w:rsidR="00EE0DE7">
              <w:rPr>
                <w:rStyle w:val="Refdecomentario"/>
              </w:rPr>
              <w:commentReference w:id="7"/>
            </w:r>
          </w:p>
        </w:tc>
      </w:tr>
    </w:tbl>
    <w:p w14:paraId="3A4849A3" w14:textId="68596920" w:rsidR="00D4415B" w:rsidRDefault="00D4415B" w:rsidP="007367AF">
      <w:pPr>
        <w:jc w:val="both"/>
        <w:rPr>
          <w:rFonts w:ascii="Garamond" w:hAnsi="Garamond" w:cstheme="minorBidi"/>
          <w:b/>
          <w:sz w:val="24"/>
          <w:szCs w:val="24"/>
        </w:rPr>
      </w:pPr>
    </w:p>
    <w:p w14:paraId="7E3B1189" w14:textId="08CFC955" w:rsidR="00B27E67" w:rsidRPr="002C6746" w:rsidRDefault="00B27E67" w:rsidP="002C6746">
      <w:pPr>
        <w:jc w:val="both"/>
        <w:rPr>
          <w:rFonts w:ascii="Calibri" w:eastAsia="Calibri" w:hAnsi="Calibri" w:cs="Calibri"/>
          <w:i/>
          <w:iCs/>
          <w:sz w:val="18"/>
          <w:szCs w:val="18"/>
        </w:rPr>
      </w:pPr>
      <w:r>
        <w:rPr>
          <w:rFonts w:ascii="Calibri" w:eastAsia="Calibri" w:hAnsi="Calibri" w:cs="Calibri"/>
          <w:i/>
          <w:iCs/>
          <w:sz w:val="18"/>
          <w:szCs w:val="18"/>
        </w:rPr>
        <w:t>*</w:t>
      </w:r>
      <w:r w:rsidRPr="002C6746">
        <w:rPr>
          <w:rFonts w:ascii="Garamond" w:eastAsia="Calibri" w:hAnsi="Garamond" w:cs="Calibri"/>
          <w:i/>
          <w:iCs/>
          <w:sz w:val="18"/>
          <w:szCs w:val="18"/>
        </w:rPr>
        <w:t>Las metas y presupuesto anteriormente detallados en el cuadro fueron concertada con el FDL de acuerdo con la proyección de la herramienta de apoyo de Excel “Calculadora”.</w:t>
      </w:r>
    </w:p>
    <w:p w14:paraId="6A72CA90" w14:textId="394FB2B9" w:rsidR="00F92A53" w:rsidRDefault="00F92A53" w:rsidP="007367AF">
      <w:pPr>
        <w:jc w:val="both"/>
        <w:rPr>
          <w:rFonts w:ascii="Garamond" w:hAnsi="Garamond" w:cstheme="minorBidi"/>
          <w:b/>
          <w:sz w:val="24"/>
          <w:szCs w:val="24"/>
        </w:rPr>
      </w:pPr>
    </w:p>
    <w:p w14:paraId="1CC4F35F" w14:textId="33ED6D2A" w:rsidR="00F92A53" w:rsidRPr="00FB23C7" w:rsidRDefault="00F92A53" w:rsidP="0055486F">
      <w:pPr>
        <w:pStyle w:val="Prrafodelista"/>
        <w:numPr>
          <w:ilvl w:val="2"/>
          <w:numId w:val="36"/>
        </w:numPr>
        <w:jc w:val="both"/>
        <w:rPr>
          <w:rFonts w:ascii="Garamond" w:hAnsi="Garamond" w:cs="Times New Roman"/>
          <w:b/>
          <w:sz w:val="24"/>
          <w:szCs w:val="24"/>
        </w:rPr>
      </w:pPr>
      <w:r w:rsidRPr="002E6DAC">
        <w:rPr>
          <w:rFonts w:ascii="Garamond" w:hAnsi="Garamond"/>
          <w:b/>
          <w:bCs/>
          <w:sz w:val="24"/>
          <w:szCs w:val="24"/>
        </w:rPr>
        <w:t xml:space="preserve">PROGRAMAS DE EDUCACIÓN POSMEDIA </w:t>
      </w:r>
    </w:p>
    <w:p w14:paraId="3681C1B2" w14:textId="77777777" w:rsidR="00FB23C7" w:rsidRPr="002E6DAC" w:rsidRDefault="00FB23C7" w:rsidP="00FB23C7">
      <w:pPr>
        <w:pStyle w:val="Prrafodelista"/>
        <w:jc w:val="both"/>
        <w:rPr>
          <w:rFonts w:ascii="Garamond" w:hAnsi="Garamond" w:cs="Times New Roman"/>
          <w:b/>
          <w:sz w:val="24"/>
          <w:szCs w:val="24"/>
        </w:rPr>
      </w:pPr>
    </w:p>
    <w:p w14:paraId="4AB94EF7" w14:textId="3E2F5C6B" w:rsidR="00F92A53" w:rsidRPr="002E6DAC" w:rsidRDefault="000A5332" w:rsidP="0055486F">
      <w:pPr>
        <w:pStyle w:val="Prrafodelista"/>
        <w:numPr>
          <w:ilvl w:val="3"/>
          <w:numId w:val="37"/>
        </w:numPr>
        <w:jc w:val="both"/>
        <w:rPr>
          <w:rFonts w:ascii="Garamond" w:hAnsi="Garamond"/>
          <w:b/>
          <w:bCs/>
          <w:sz w:val="24"/>
          <w:szCs w:val="24"/>
        </w:rPr>
      </w:pPr>
      <w:r w:rsidRPr="002E6DAC">
        <w:rPr>
          <w:rFonts w:ascii="Garamond" w:hAnsi="Garamond"/>
          <w:b/>
          <w:bCs/>
          <w:sz w:val="24"/>
          <w:szCs w:val="24"/>
        </w:rPr>
        <w:t>Jóvenes A La E</w:t>
      </w:r>
    </w:p>
    <w:p w14:paraId="42173033" w14:textId="78512BEF" w:rsidR="00F92A53" w:rsidRDefault="00F92A53" w:rsidP="00F92A53">
      <w:pPr>
        <w:jc w:val="both"/>
        <w:rPr>
          <w:rFonts w:ascii="Garamond" w:hAnsi="Garamond" w:cstheme="minorBidi"/>
          <w:sz w:val="24"/>
          <w:szCs w:val="24"/>
        </w:rPr>
      </w:pPr>
      <w:r w:rsidRPr="002E6DAC">
        <w:rPr>
          <w:rFonts w:ascii="Garamond" w:hAnsi="Garamond" w:cstheme="minorBidi"/>
          <w:sz w:val="24"/>
          <w:szCs w:val="24"/>
        </w:rPr>
        <w:t xml:space="preserve">El Programa de Educación Posmedia “Jóvenes a la E”, inicialmente concebido como “Jóvenes a la U”, fue una apuesta de la Administración Distrital que surgió en la Secretaría de Educación en virtud del proyecto de inversión Nº 7809 de 2020, cuyo objetivo estaba orientado a promover el acceso y la permanencia en la educación superior de los jóvenes en las instituciones de educación superior oficiales y no oficiales.  </w:t>
      </w:r>
    </w:p>
    <w:p w14:paraId="5D0F6802" w14:textId="77777777" w:rsidR="002E6DAC" w:rsidRPr="002E6DAC" w:rsidRDefault="002E6DAC" w:rsidP="00F92A53">
      <w:pPr>
        <w:jc w:val="both"/>
        <w:rPr>
          <w:rFonts w:ascii="Garamond" w:hAnsi="Garamond" w:cstheme="minorBidi"/>
          <w:sz w:val="24"/>
          <w:szCs w:val="24"/>
        </w:rPr>
      </w:pPr>
    </w:p>
    <w:p w14:paraId="0EA0DF89" w14:textId="5B1CFD90" w:rsidR="00F92A53" w:rsidRDefault="00F92A53" w:rsidP="00F92A53">
      <w:pPr>
        <w:jc w:val="both"/>
        <w:rPr>
          <w:rFonts w:ascii="Garamond" w:hAnsi="Garamond" w:cstheme="minorBidi"/>
          <w:sz w:val="24"/>
          <w:szCs w:val="24"/>
        </w:rPr>
      </w:pPr>
      <w:r w:rsidRPr="002E6DAC">
        <w:rPr>
          <w:rFonts w:ascii="Garamond" w:hAnsi="Garamond" w:cstheme="minorBidi"/>
          <w:sz w:val="24"/>
          <w:szCs w:val="24"/>
        </w:rPr>
        <w:lastRenderedPageBreak/>
        <w:t xml:space="preserve">A partir de la creación de la Agencia Distrital para la Educación Superior, la Ciencia y la Tecnología – ATENEA, en diciembre de 2020, dicho programa pasó a estar a cargo de esta entidad, incluyéndolo dentro del proyecto de inversión Nº 7913 “Implementación del sistema de educación posmedia para Bogotá D.C”, como una estrategia para el cumplimiento de las metas propuestas tanto en el proyecto, como en el Plan Distrital de Desarrollo 2020 – 2024.  </w:t>
      </w:r>
    </w:p>
    <w:p w14:paraId="0238629F" w14:textId="77777777" w:rsidR="00C41BCE" w:rsidRPr="002E6DAC" w:rsidRDefault="00C41BCE" w:rsidP="00F92A53">
      <w:pPr>
        <w:jc w:val="both"/>
        <w:rPr>
          <w:rFonts w:ascii="Garamond" w:hAnsi="Garamond" w:cstheme="minorBidi"/>
          <w:sz w:val="24"/>
          <w:szCs w:val="24"/>
        </w:rPr>
      </w:pPr>
    </w:p>
    <w:p w14:paraId="4CAC376D" w14:textId="7EA9D5CF" w:rsidR="00F92A53" w:rsidRDefault="00F92A53" w:rsidP="00F92A53">
      <w:pPr>
        <w:jc w:val="both"/>
        <w:rPr>
          <w:rFonts w:ascii="Garamond" w:hAnsi="Garamond" w:cstheme="minorBidi"/>
          <w:sz w:val="24"/>
          <w:szCs w:val="24"/>
        </w:rPr>
      </w:pPr>
      <w:r w:rsidRPr="002E6DAC">
        <w:rPr>
          <w:rFonts w:ascii="Garamond" w:hAnsi="Garamond" w:cstheme="minorBidi"/>
          <w:sz w:val="24"/>
          <w:szCs w:val="24"/>
        </w:rPr>
        <w:t xml:space="preserve">Con ocasión del proceso de formulación del Plan Distrital de Desarrollo 2024 – 2027, desde la Agencia Atenea se realizó un proceso de identificación de los aspectos susceptibles de mejora, que respondieran a los objetivos del PDD Bogotá Camina Segura relativos al aumento en el acceso y la permanencia en los programas de educación posmedia de os jóvenes en condición de vulnerabilidad en la ciudad de Bogotá, lo que conllevó a la evolución del “Programa Jóvenes a la U” al “Programa Jóvenes a la E”, que significó la materialización de cinco cambios principales para el programa. Estos son: </w:t>
      </w:r>
    </w:p>
    <w:p w14:paraId="547C57F1" w14:textId="77777777" w:rsidR="00894711" w:rsidRPr="002E6DAC" w:rsidRDefault="00894711" w:rsidP="00F92A53">
      <w:pPr>
        <w:jc w:val="both"/>
        <w:rPr>
          <w:rFonts w:ascii="Garamond" w:hAnsi="Garamond" w:cstheme="minorBidi"/>
          <w:sz w:val="24"/>
          <w:szCs w:val="24"/>
        </w:rPr>
      </w:pPr>
    </w:p>
    <w:p w14:paraId="05D73455" w14:textId="77777777" w:rsidR="00F92A53" w:rsidRPr="00B263FB" w:rsidRDefault="00F92A53" w:rsidP="0055486F">
      <w:pPr>
        <w:numPr>
          <w:ilvl w:val="0"/>
          <w:numId w:val="30"/>
        </w:numPr>
        <w:jc w:val="both"/>
        <w:rPr>
          <w:rFonts w:ascii="Garamond" w:hAnsi="Garamond" w:cstheme="minorBidi"/>
          <w:sz w:val="24"/>
          <w:szCs w:val="24"/>
        </w:rPr>
      </w:pPr>
      <w:r w:rsidRPr="00B263FB">
        <w:rPr>
          <w:rFonts w:ascii="Garamond" w:hAnsi="Garamond" w:cstheme="minorBidi"/>
          <w:sz w:val="24"/>
          <w:szCs w:val="24"/>
        </w:rPr>
        <w:t xml:space="preserve">Rediseño de los criterios de calidad y pertinencia para la selección de la oferta de formación. </w:t>
      </w:r>
    </w:p>
    <w:p w14:paraId="2BFF4B4A" w14:textId="77777777" w:rsidR="00F92A53" w:rsidRPr="00B263FB" w:rsidRDefault="00F92A53" w:rsidP="0055486F">
      <w:pPr>
        <w:numPr>
          <w:ilvl w:val="0"/>
          <w:numId w:val="30"/>
        </w:numPr>
        <w:jc w:val="both"/>
        <w:rPr>
          <w:rFonts w:ascii="Garamond" w:hAnsi="Garamond" w:cstheme="minorBidi"/>
          <w:sz w:val="24"/>
          <w:szCs w:val="24"/>
        </w:rPr>
      </w:pPr>
      <w:r w:rsidRPr="00B263FB">
        <w:rPr>
          <w:rFonts w:ascii="Garamond" w:hAnsi="Garamond" w:cstheme="minorBidi"/>
          <w:sz w:val="24"/>
          <w:szCs w:val="24"/>
        </w:rPr>
        <w:t>El mérito académico y la vulnerabilidad socioeconómica como criterios principales para la selección de las y los beneficiarios.</w:t>
      </w:r>
    </w:p>
    <w:p w14:paraId="7BF82860" w14:textId="77777777" w:rsidR="00F92A53" w:rsidRPr="00B263FB" w:rsidRDefault="00F92A53" w:rsidP="0055486F">
      <w:pPr>
        <w:numPr>
          <w:ilvl w:val="0"/>
          <w:numId w:val="30"/>
        </w:numPr>
        <w:jc w:val="both"/>
        <w:rPr>
          <w:rFonts w:ascii="Garamond" w:hAnsi="Garamond" w:cstheme="minorBidi"/>
          <w:sz w:val="24"/>
          <w:szCs w:val="24"/>
        </w:rPr>
      </w:pPr>
      <w:r w:rsidRPr="00B263FB">
        <w:rPr>
          <w:rFonts w:ascii="Garamond" w:hAnsi="Garamond" w:cstheme="minorBidi"/>
          <w:sz w:val="24"/>
          <w:szCs w:val="24"/>
        </w:rPr>
        <w:t xml:space="preserve">Estímulo a la oferta educativa a través del fortalecimiento de las Instituciones de Educación Superior Públicas de la ciudad. </w:t>
      </w:r>
    </w:p>
    <w:p w14:paraId="7A31EA8D" w14:textId="77777777" w:rsidR="00F92A53" w:rsidRPr="00DE6776" w:rsidRDefault="00F92A53" w:rsidP="0055486F">
      <w:pPr>
        <w:numPr>
          <w:ilvl w:val="0"/>
          <w:numId w:val="30"/>
        </w:numPr>
        <w:jc w:val="both"/>
        <w:rPr>
          <w:rFonts w:ascii="Garamond" w:hAnsi="Garamond" w:cstheme="minorBidi"/>
          <w:sz w:val="24"/>
          <w:szCs w:val="24"/>
        </w:rPr>
      </w:pPr>
      <w:r w:rsidRPr="00DE6776">
        <w:rPr>
          <w:rFonts w:ascii="Garamond" w:hAnsi="Garamond" w:cstheme="minorBidi"/>
          <w:sz w:val="24"/>
          <w:szCs w:val="24"/>
        </w:rPr>
        <w:t xml:space="preserve">Estrategias de orientación que permitan una mejora en la permanencia y empleabilidad de los beneficiarios del programa. </w:t>
      </w:r>
    </w:p>
    <w:p w14:paraId="680010D7" w14:textId="36A9241A" w:rsidR="00F92A53" w:rsidRDefault="00F92A53" w:rsidP="0055486F">
      <w:pPr>
        <w:numPr>
          <w:ilvl w:val="0"/>
          <w:numId w:val="30"/>
        </w:numPr>
        <w:jc w:val="both"/>
        <w:rPr>
          <w:rFonts w:ascii="Garamond" w:hAnsi="Garamond" w:cstheme="minorBidi"/>
          <w:sz w:val="24"/>
          <w:szCs w:val="24"/>
        </w:rPr>
      </w:pPr>
      <w:r w:rsidRPr="00DE6776">
        <w:rPr>
          <w:rFonts w:ascii="Garamond" w:hAnsi="Garamond" w:cstheme="minorBidi"/>
          <w:sz w:val="24"/>
          <w:szCs w:val="24"/>
        </w:rPr>
        <w:t xml:space="preserve">Inclusión de la Educación para el Trabajo y el Desarrollo Humano y programas del Subsistema de Formación para el Trabajo. </w:t>
      </w:r>
    </w:p>
    <w:p w14:paraId="11DAC0DB" w14:textId="77777777" w:rsidR="00DE6776" w:rsidRPr="00DE6776" w:rsidRDefault="00DE6776" w:rsidP="00DE6776">
      <w:pPr>
        <w:ind w:left="1060"/>
        <w:jc w:val="both"/>
        <w:rPr>
          <w:rFonts w:ascii="Garamond" w:hAnsi="Garamond" w:cstheme="minorBidi"/>
          <w:sz w:val="24"/>
          <w:szCs w:val="24"/>
        </w:rPr>
      </w:pPr>
    </w:p>
    <w:p w14:paraId="6592FE6A" w14:textId="77777777" w:rsidR="00F92A53" w:rsidRPr="00A41986" w:rsidRDefault="00F92A53" w:rsidP="00F92A53">
      <w:pPr>
        <w:jc w:val="both"/>
        <w:rPr>
          <w:rFonts w:ascii="Garamond" w:hAnsi="Garamond" w:cstheme="minorBidi"/>
          <w:sz w:val="24"/>
          <w:szCs w:val="24"/>
        </w:rPr>
      </w:pPr>
      <w:r w:rsidRPr="00A41986">
        <w:rPr>
          <w:rFonts w:ascii="Garamond" w:hAnsi="Garamond" w:cstheme="minorBidi"/>
          <w:bCs/>
          <w:sz w:val="24"/>
          <w:szCs w:val="24"/>
        </w:rPr>
        <w:t>Nota:</w:t>
      </w:r>
      <w:r w:rsidRPr="00A41986">
        <w:rPr>
          <w:rFonts w:ascii="Garamond" w:hAnsi="Garamond" w:cstheme="minorBidi"/>
          <w:sz w:val="24"/>
          <w:szCs w:val="24"/>
        </w:rPr>
        <w:t xml:space="preserve"> Los anteriores cambios se encuentran soportados en el Documento Técnico de Soporte del programa, que puede ser consultado en la página web de la Agencia Atenea: </w:t>
      </w:r>
      <w:hyperlink r:id="rId17" w:history="1">
        <w:r w:rsidRPr="00A41986">
          <w:rPr>
            <w:rStyle w:val="Hipervnculo"/>
            <w:rFonts w:ascii="Garamond" w:hAnsi="Garamond" w:cstheme="minorBidi"/>
            <w:sz w:val="24"/>
            <w:szCs w:val="24"/>
          </w:rPr>
          <w:t>https://agenciaatenea.gov.co/sites/default/files/2024-09/dts_jovenes_a_la_e.pdf</w:t>
        </w:r>
      </w:hyperlink>
      <w:r w:rsidRPr="00A41986">
        <w:rPr>
          <w:rFonts w:ascii="Garamond" w:hAnsi="Garamond" w:cstheme="minorBidi"/>
          <w:sz w:val="24"/>
          <w:szCs w:val="24"/>
        </w:rPr>
        <w:t xml:space="preserve"> </w:t>
      </w:r>
    </w:p>
    <w:p w14:paraId="2C398F0F" w14:textId="77777777" w:rsidR="00A41986" w:rsidRDefault="00A41986" w:rsidP="00F92A53">
      <w:pPr>
        <w:jc w:val="both"/>
        <w:rPr>
          <w:rFonts w:ascii="Garamond" w:hAnsi="Garamond" w:cstheme="minorBidi"/>
          <w:sz w:val="24"/>
          <w:szCs w:val="24"/>
        </w:rPr>
      </w:pPr>
    </w:p>
    <w:p w14:paraId="53372171" w14:textId="7D7CB7DA" w:rsidR="00F92A53" w:rsidRDefault="00F92A53" w:rsidP="00F92A53">
      <w:pPr>
        <w:jc w:val="both"/>
        <w:rPr>
          <w:rFonts w:ascii="Garamond" w:hAnsi="Garamond" w:cstheme="minorBidi"/>
          <w:sz w:val="24"/>
          <w:szCs w:val="24"/>
        </w:rPr>
      </w:pPr>
      <w:r w:rsidRPr="00A41986">
        <w:rPr>
          <w:rFonts w:ascii="Garamond" w:hAnsi="Garamond" w:cstheme="minorBidi"/>
          <w:sz w:val="24"/>
          <w:szCs w:val="24"/>
        </w:rPr>
        <w:t xml:space="preserve">En virtud de lo anterior, “Jóvenes a la E” es un programa para el acceso y la permanencia en la educación posmedia, dirigido a bachilleres de hasta 28 años, que financia el valor de la matrícula académica (en Instituciones de Educación Superior No Oficiales) o valor de referencia (en Instituciones de Educación Superior Oficiales), sin generar endeudamiento para las y los beneficiarios, y que otorga o gestiona apoyos económicos y/o en especie para promover la permanencia académica; además, contempla la realización de una pasantía social como forma de retribución social a la ciudad por los beneficios otorgados.  </w:t>
      </w:r>
    </w:p>
    <w:p w14:paraId="34A62B1E" w14:textId="77777777" w:rsidR="00A41986" w:rsidRPr="00A41986" w:rsidRDefault="00A41986" w:rsidP="00F92A53">
      <w:pPr>
        <w:jc w:val="both"/>
        <w:rPr>
          <w:rFonts w:ascii="Garamond" w:hAnsi="Garamond" w:cstheme="minorBidi"/>
          <w:sz w:val="24"/>
          <w:szCs w:val="24"/>
        </w:rPr>
      </w:pPr>
    </w:p>
    <w:p w14:paraId="050ACC56" w14:textId="60544A16" w:rsidR="00F92A53" w:rsidRPr="00A253C6" w:rsidRDefault="00F92A53" w:rsidP="00F92A53">
      <w:pPr>
        <w:jc w:val="both"/>
        <w:rPr>
          <w:rFonts w:ascii="Garamond" w:hAnsi="Garamond" w:cstheme="minorBidi"/>
          <w:sz w:val="24"/>
          <w:szCs w:val="24"/>
        </w:rPr>
      </w:pPr>
      <w:r w:rsidRPr="00A253C6">
        <w:rPr>
          <w:rFonts w:ascii="Garamond" w:hAnsi="Garamond" w:cstheme="minorBidi"/>
          <w:sz w:val="24"/>
          <w:szCs w:val="24"/>
        </w:rPr>
        <w:t xml:space="preserve">Si bien el programa se centra en mejorar las condiciones de acceso y permanencia de población vulnerable, es importante aclarar que sus impactos van más allá de estas variables, en la medida que los objetivos de la educación posmedia son: i) a nivel individual: aumento en la empleabilidad, mayor </w:t>
      </w:r>
      <w:r w:rsidRPr="00A253C6">
        <w:rPr>
          <w:rFonts w:ascii="Garamond" w:hAnsi="Garamond" w:cstheme="minorBidi"/>
          <w:sz w:val="24"/>
          <w:szCs w:val="24"/>
        </w:rPr>
        <w:lastRenderedPageBreak/>
        <w:t>productividad, mayores ingresos, mejor salud para el individuo y su familia, mayor resiliencia y adaptabilidad y mejor toma de decisiones; ii) a nivel económico: mayor productividad de la economía, mayor crecimiento económico, reducción en la pobreza y mayor desarrollo de largo plazo; y iii) a nivel social: instituciones más funcionales, mayores niveles de participación ciudadana y cohesión social, menores tasas de fertilidad y de embarazo juvenil.</w:t>
      </w:r>
    </w:p>
    <w:p w14:paraId="1CAB2581" w14:textId="77777777" w:rsidR="00A253C6" w:rsidRPr="00F92A53" w:rsidRDefault="00A253C6" w:rsidP="00F92A53">
      <w:pPr>
        <w:jc w:val="both"/>
        <w:rPr>
          <w:rFonts w:ascii="Garamond" w:hAnsi="Garamond" w:cstheme="minorBidi"/>
          <w:b/>
          <w:sz w:val="24"/>
          <w:szCs w:val="24"/>
        </w:rPr>
      </w:pPr>
    </w:p>
    <w:p w14:paraId="0A4DC262" w14:textId="52825177" w:rsidR="00F92A53" w:rsidRPr="00A253C6" w:rsidRDefault="008A4132" w:rsidP="0055486F">
      <w:pPr>
        <w:pStyle w:val="Prrafodelista"/>
        <w:numPr>
          <w:ilvl w:val="3"/>
          <w:numId w:val="38"/>
        </w:numPr>
        <w:jc w:val="both"/>
        <w:rPr>
          <w:rFonts w:ascii="Garamond" w:hAnsi="Garamond"/>
          <w:b/>
          <w:sz w:val="24"/>
          <w:szCs w:val="24"/>
        </w:rPr>
      </w:pPr>
      <w:r w:rsidRPr="00A253C6">
        <w:rPr>
          <w:rFonts w:ascii="Garamond" w:hAnsi="Garamond"/>
          <w:b/>
          <w:sz w:val="24"/>
          <w:szCs w:val="24"/>
        </w:rPr>
        <w:t xml:space="preserve">Capítulo De Educación Superior </w:t>
      </w:r>
    </w:p>
    <w:p w14:paraId="6426D37C" w14:textId="0A93CD76" w:rsidR="00F92A53" w:rsidRPr="00AB26ED" w:rsidRDefault="00F92A53" w:rsidP="00F92A53">
      <w:pPr>
        <w:jc w:val="both"/>
        <w:rPr>
          <w:rFonts w:ascii="Garamond" w:hAnsi="Garamond" w:cstheme="minorBidi"/>
          <w:sz w:val="24"/>
          <w:szCs w:val="24"/>
        </w:rPr>
      </w:pPr>
      <w:r w:rsidRPr="00AB26ED">
        <w:rPr>
          <w:rFonts w:ascii="Garamond" w:hAnsi="Garamond" w:cstheme="minorBidi"/>
          <w:sz w:val="24"/>
          <w:szCs w:val="24"/>
        </w:rPr>
        <w:t>Para alcanzar los objetivos de acceso y permanencia para este programa, Atenea habilita las siguientes líneas de participación para el capítulo de educación superior:</w:t>
      </w:r>
    </w:p>
    <w:p w14:paraId="633DE827" w14:textId="77777777" w:rsidR="00A253C6" w:rsidRPr="00F92A53" w:rsidRDefault="00A253C6" w:rsidP="00F92A53">
      <w:pPr>
        <w:jc w:val="both"/>
        <w:rPr>
          <w:rFonts w:ascii="Garamond" w:hAnsi="Garamond" w:cstheme="minorBidi"/>
          <w:b/>
          <w:sz w:val="24"/>
          <w:szCs w:val="24"/>
        </w:rPr>
      </w:pPr>
    </w:p>
    <w:p w14:paraId="408C2A7E" w14:textId="34AE78B1" w:rsidR="00F92A53" w:rsidRPr="005B2953" w:rsidRDefault="00AB26ED" w:rsidP="0055486F">
      <w:pPr>
        <w:pStyle w:val="Prrafodelista"/>
        <w:numPr>
          <w:ilvl w:val="4"/>
          <w:numId w:val="39"/>
        </w:numPr>
        <w:jc w:val="both"/>
        <w:rPr>
          <w:rFonts w:ascii="Garamond" w:hAnsi="Garamond"/>
          <w:b/>
          <w:iCs/>
          <w:sz w:val="24"/>
          <w:szCs w:val="24"/>
        </w:rPr>
      </w:pPr>
      <w:r w:rsidRPr="005B2953">
        <w:rPr>
          <w:rFonts w:ascii="Garamond" w:hAnsi="Garamond"/>
          <w:b/>
          <w:iCs/>
          <w:sz w:val="24"/>
          <w:szCs w:val="24"/>
        </w:rPr>
        <w:t xml:space="preserve">Instituciones No Oficiales </w:t>
      </w:r>
    </w:p>
    <w:p w14:paraId="5C46F392" w14:textId="5F561EFE" w:rsidR="00F92A53" w:rsidRPr="00621BFA" w:rsidRDefault="00F92A53" w:rsidP="00F92A53">
      <w:pPr>
        <w:jc w:val="both"/>
        <w:rPr>
          <w:rFonts w:ascii="Garamond" w:hAnsi="Garamond" w:cstheme="minorBidi"/>
          <w:sz w:val="24"/>
          <w:szCs w:val="24"/>
        </w:rPr>
      </w:pPr>
      <w:r w:rsidRPr="00621BFA">
        <w:rPr>
          <w:rFonts w:ascii="Garamond" w:hAnsi="Garamond" w:cstheme="minorBidi"/>
          <w:bCs/>
          <w:sz w:val="24"/>
          <w:szCs w:val="24"/>
        </w:rPr>
        <w:t>Línea de admisión general:</w:t>
      </w:r>
      <w:r w:rsidRPr="00621BFA">
        <w:rPr>
          <w:rFonts w:ascii="Garamond" w:hAnsi="Garamond" w:cstheme="minorBidi"/>
          <w:sz w:val="24"/>
          <w:szCs w:val="24"/>
        </w:rPr>
        <w:t xml:space="preserve"> la inscripción, la selección y la habilitación de las y los jóvenes se realiza mediante la convocatoria pública que adelante Atenea, entidad que a su vez determina los criterios mínimos de participación y de selección. En esta línea participan principalmente las instituciones de educación superior privadas y los aportes del programa obedecen a la financiación de la matrícula periódica de las y los beneficiarios. Las condiciones de participación y el mecanismo de selección de los aspirantes se establecen en el lineamiento operativo correspondiente.</w:t>
      </w:r>
    </w:p>
    <w:p w14:paraId="419BE8F3" w14:textId="77777777" w:rsidR="00A5248E" w:rsidRPr="00621BFA" w:rsidRDefault="00A5248E" w:rsidP="00A5248E">
      <w:pPr>
        <w:jc w:val="both"/>
        <w:rPr>
          <w:rFonts w:ascii="Garamond" w:hAnsi="Garamond" w:cstheme="minorBidi"/>
          <w:i/>
          <w:iCs/>
          <w:sz w:val="24"/>
          <w:szCs w:val="24"/>
        </w:rPr>
      </w:pPr>
    </w:p>
    <w:p w14:paraId="28FB130A" w14:textId="1C33103A" w:rsidR="00F92A53" w:rsidRPr="009740A3" w:rsidRDefault="00A5248E" w:rsidP="0055486F">
      <w:pPr>
        <w:pStyle w:val="Prrafodelista"/>
        <w:numPr>
          <w:ilvl w:val="4"/>
          <w:numId w:val="39"/>
        </w:numPr>
        <w:jc w:val="both"/>
        <w:rPr>
          <w:rFonts w:ascii="Garamond" w:hAnsi="Garamond"/>
          <w:b/>
          <w:iCs/>
          <w:sz w:val="24"/>
          <w:szCs w:val="24"/>
        </w:rPr>
      </w:pPr>
      <w:r w:rsidRPr="009740A3">
        <w:rPr>
          <w:rFonts w:ascii="Garamond" w:hAnsi="Garamond"/>
          <w:b/>
          <w:iCs/>
          <w:sz w:val="24"/>
          <w:szCs w:val="24"/>
        </w:rPr>
        <w:t>Instituciones Oficiales</w:t>
      </w:r>
    </w:p>
    <w:p w14:paraId="431628CB" w14:textId="2F1282F1" w:rsidR="00F92A53" w:rsidRPr="00621BFA" w:rsidRDefault="00F92A53" w:rsidP="00F92A53">
      <w:pPr>
        <w:jc w:val="both"/>
        <w:rPr>
          <w:rFonts w:ascii="Garamond" w:hAnsi="Garamond" w:cstheme="minorBidi"/>
          <w:sz w:val="24"/>
          <w:szCs w:val="24"/>
        </w:rPr>
      </w:pPr>
      <w:r w:rsidRPr="00621BFA">
        <w:rPr>
          <w:rFonts w:ascii="Garamond" w:hAnsi="Garamond" w:cstheme="minorBidi"/>
          <w:bCs/>
          <w:sz w:val="24"/>
          <w:szCs w:val="24"/>
        </w:rPr>
        <w:t>Línea de fortalecimiento del acceso, la permanencia y la calidad en Instituciones Oficiales que ofertan Educación Superior en Bogotá:</w:t>
      </w:r>
      <w:r w:rsidRPr="00621BFA">
        <w:rPr>
          <w:rFonts w:ascii="Garamond" w:hAnsi="Garamond" w:cstheme="minorBidi"/>
          <w:sz w:val="24"/>
          <w:szCs w:val="24"/>
        </w:rPr>
        <w:t xml:space="preserve"> Esta línea consiste en un plan de inversiones que tiene como propósito el mejoramiento de las capacidades de las Instituciones Oficiales que ofrecen Educación Superior en Bogotá a través de la financiación de acciones y actividades contenidas en dicho plan que fortalecen el acceso a la educación superior oficial y la permanencia de los beneficiarios de “Jóvenes a la E” que adelanten sus estudios en dichas instituciones, y en general se beneficia la comunidad educativa y la ciudad al contar con instituciones fortalecidas con educación superior pública de calidad.</w:t>
      </w:r>
    </w:p>
    <w:p w14:paraId="74361A02" w14:textId="77777777" w:rsidR="00621BFA" w:rsidRPr="00621BFA" w:rsidRDefault="00621BFA" w:rsidP="00F92A53">
      <w:pPr>
        <w:jc w:val="both"/>
        <w:rPr>
          <w:rFonts w:ascii="Garamond" w:hAnsi="Garamond" w:cstheme="minorBidi"/>
          <w:sz w:val="24"/>
          <w:szCs w:val="24"/>
        </w:rPr>
      </w:pPr>
    </w:p>
    <w:p w14:paraId="4427DC7F" w14:textId="77777777" w:rsidR="00F92A53" w:rsidRPr="00621BFA" w:rsidRDefault="00F92A53" w:rsidP="00F92A53">
      <w:pPr>
        <w:jc w:val="both"/>
        <w:rPr>
          <w:rFonts w:ascii="Garamond" w:hAnsi="Garamond" w:cstheme="minorBidi"/>
          <w:sz w:val="24"/>
          <w:szCs w:val="24"/>
        </w:rPr>
      </w:pPr>
      <w:r w:rsidRPr="00621BFA">
        <w:rPr>
          <w:rFonts w:ascii="Garamond" w:hAnsi="Garamond" w:cstheme="minorBidi"/>
          <w:sz w:val="24"/>
          <w:szCs w:val="24"/>
        </w:rPr>
        <w:t>Esta línea apunta a mejorar la gestión interna y la calidad educativa, el bienestar estudiantil, la mejora docente, y el fortalecimiento de la ciencia, la tecnología y la innovación en las IES. La línea desarrollada mediante los planes de inversiones de cada institución también pretende complementar las acciones adelantadas por el Gobierno Nacional para la financiación de las IES oficiales a través de las transferencias establecidas mediante la Ley 30 de 1992, así como, la política de gratuidad estipulada mediante la Ley 2294 de 2023, lo anterior, en línea con los objetivos del PDD “Bogotá Camina Segura”.</w:t>
      </w:r>
    </w:p>
    <w:p w14:paraId="4842CB6E" w14:textId="623D8D6D" w:rsidR="00F92A53" w:rsidRDefault="00F92A53" w:rsidP="00F92A53">
      <w:pPr>
        <w:jc w:val="both"/>
        <w:rPr>
          <w:rFonts w:ascii="Garamond" w:hAnsi="Garamond" w:cstheme="minorBidi"/>
          <w:sz w:val="24"/>
          <w:szCs w:val="24"/>
        </w:rPr>
      </w:pPr>
      <w:r w:rsidRPr="00621BFA">
        <w:rPr>
          <w:rFonts w:ascii="Garamond" w:hAnsi="Garamond" w:cstheme="minorBidi"/>
          <w:sz w:val="24"/>
          <w:szCs w:val="24"/>
        </w:rPr>
        <w:t>Los planes de inversión propuestos por las instituciones permiten derivar a un valor de referencia por beneficiario, valor que refleja las acciones y actividades contenidas en los planes y obedeciendo a los propósitos de la línea.</w:t>
      </w:r>
    </w:p>
    <w:p w14:paraId="6E678788" w14:textId="77777777" w:rsidR="006E0812" w:rsidRPr="00621BFA" w:rsidRDefault="006E0812" w:rsidP="00F92A53">
      <w:pPr>
        <w:jc w:val="both"/>
        <w:rPr>
          <w:rFonts w:ascii="Garamond" w:hAnsi="Garamond" w:cstheme="minorBidi"/>
          <w:sz w:val="24"/>
          <w:szCs w:val="24"/>
        </w:rPr>
      </w:pPr>
    </w:p>
    <w:p w14:paraId="458305E4" w14:textId="2FE423B7" w:rsidR="00F92A53" w:rsidRDefault="00F92A53" w:rsidP="00F92A53">
      <w:pPr>
        <w:jc w:val="both"/>
        <w:rPr>
          <w:rFonts w:ascii="Garamond" w:hAnsi="Garamond" w:cstheme="minorBidi"/>
          <w:sz w:val="24"/>
          <w:szCs w:val="24"/>
        </w:rPr>
      </w:pPr>
      <w:r w:rsidRPr="00621BFA">
        <w:rPr>
          <w:rFonts w:ascii="Garamond" w:hAnsi="Garamond" w:cstheme="minorBidi"/>
          <w:sz w:val="24"/>
          <w:szCs w:val="24"/>
        </w:rPr>
        <w:t>Para su implementación, la Agencia Atenea establece los lineamientos operativos y demás documentos técnicos y operativos correspondientes que describirán los objetivos, alcance y desarrollo de la línea, así como, los requisitos y procesos para considerar la participación de las IES oficiales y de los jóvenes que acceden a estas instituciones para ser considerados como beneficiarios del programa.</w:t>
      </w:r>
    </w:p>
    <w:p w14:paraId="5E3ADEAC" w14:textId="77777777" w:rsidR="00267982" w:rsidRPr="00621BFA" w:rsidRDefault="00267982" w:rsidP="00F92A53">
      <w:pPr>
        <w:jc w:val="both"/>
        <w:rPr>
          <w:rFonts w:ascii="Garamond" w:hAnsi="Garamond" w:cstheme="minorBidi"/>
          <w:sz w:val="24"/>
          <w:szCs w:val="24"/>
        </w:rPr>
      </w:pPr>
    </w:p>
    <w:p w14:paraId="4E85C7E1" w14:textId="77777777" w:rsidR="00F92A53" w:rsidRPr="00621BFA" w:rsidRDefault="00F92A53" w:rsidP="00F92A53">
      <w:pPr>
        <w:jc w:val="both"/>
        <w:rPr>
          <w:rFonts w:ascii="Garamond" w:hAnsi="Garamond" w:cstheme="minorBidi"/>
          <w:sz w:val="24"/>
          <w:szCs w:val="24"/>
        </w:rPr>
      </w:pPr>
      <w:r w:rsidRPr="00621BFA">
        <w:rPr>
          <w:rFonts w:ascii="Garamond" w:hAnsi="Garamond" w:cstheme="minorBidi"/>
          <w:sz w:val="24"/>
          <w:szCs w:val="24"/>
        </w:rPr>
        <w:t>La Línea de Fortalecimiento, corresponde a una de las líneas del Programa “Jóvenes a la E”, mediante la cual, por medio de un plan de inversiones con recursos del Distrito, se busca el mejoramiento de las capacidades de las instituciones oficiales que ofertan educación superior en Bogotá. Esta línea, implementada como uno de los cinco cambios que permiten la evolución del programa, apunta al objetivo del PDD “Bogotá Camina Segura” con relación a complementar la política de gratuidad del Gobierno Nacional, permitiendo que los recursos del Distrito fortalezcan las capacidades de las Instituciones oficiales que ofertan educación superior en los componentes de acceso y permanencia de “Jóvenes a la E” con alcances específicos para estas instituciones y un tercero relacionado con la CTEI:</w:t>
      </w:r>
    </w:p>
    <w:p w14:paraId="7D51EA96" w14:textId="77777777" w:rsidR="00F92A53" w:rsidRPr="00621BFA" w:rsidRDefault="00F92A53" w:rsidP="00F92A53">
      <w:pPr>
        <w:jc w:val="both"/>
        <w:rPr>
          <w:rFonts w:ascii="Garamond" w:hAnsi="Garamond" w:cstheme="minorBidi"/>
          <w:sz w:val="24"/>
          <w:szCs w:val="24"/>
        </w:rPr>
      </w:pPr>
      <w:r w:rsidRPr="00621BFA">
        <w:rPr>
          <w:rFonts w:ascii="Garamond" w:hAnsi="Garamond" w:cstheme="minorBidi"/>
          <w:bCs/>
          <w:sz w:val="24"/>
          <w:szCs w:val="24"/>
        </w:rPr>
        <w:t xml:space="preserve">Acceso: </w:t>
      </w:r>
      <w:r w:rsidRPr="00621BFA">
        <w:rPr>
          <w:rFonts w:ascii="Garamond" w:hAnsi="Garamond" w:cstheme="minorBidi"/>
          <w:sz w:val="24"/>
          <w:szCs w:val="24"/>
        </w:rPr>
        <w:t xml:space="preserve">Mediante el mejoramiento de los ambientes de aprendizaje, el cual permite adecuar y habilitar infraestructuras inclusivas y modernas que no solo incrementan las capacidades de atención a nuevos estudiantes, sino que también motivan a los beneficiarios a continuar sus estudios al recibir formación en un contexto técnico y físico de espacios y ambientes pertinentes que impactan inclusive la calidad de la formación recibida. Así mismo, la habilitación de nuevas infraestructuras podrá permitir a las instituciones oficiales la ampliación de la oferta y cobertura de acceso a personas que por sus condiciones de vulnerabilidad no pueden acceder con sus recursos a la educación posmedia especialmente la superior y que participan de los procesos de admisión de las instituciones oficiales, las cuales por sus limitaciones financieras estructurales no han logrado habilitar ni adecuar infraestructuras para ampliar su cobertura e impacto en la población. Sobre esto último, es importante reiterar que las instituciones oficiales deben tener domicilio principal en Bogotá, razón por la cual, las habilitaciones y adecuaciones beneficiarán a los estudiantes del sistema de educación media de la ciudad que transitan a la educación superior en las instituciones oficiales que participan en Jóvenes a la E. </w:t>
      </w:r>
    </w:p>
    <w:p w14:paraId="4AA17341" w14:textId="77777777" w:rsidR="00F92A53" w:rsidRPr="00621BFA" w:rsidRDefault="00F92A53" w:rsidP="00F92A53">
      <w:pPr>
        <w:jc w:val="both"/>
        <w:rPr>
          <w:rFonts w:ascii="Garamond" w:hAnsi="Garamond" w:cstheme="minorBidi"/>
          <w:sz w:val="24"/>
          <w:szCs w:val="24"/>
        </w:rPr>
      </w:pPr>
    </w:p>
    <w:p w14:paraId="2ECF5AB5" w14:textId="77777777" w:rsidR="00F92A53" w:rsidRPr="00621BFA" w:rsidRDefault="00F92A53" w:rsidP="00F92A53">
      <w:pPr>
        <w:jc w:val="both"/>
        <w:rPr>
          <w:rFonts w:ascii="Garamond" w:hAnsi="Garamond" w:cstheme="minorBidi"/>
          <w:sz w:val="24"/>
          <w:szCs w:val="24"/>
        </w:rPr>
      </w:pPr>
      <w:r w:rsidRPr="00621BFA">
        <w:rPr>
          <w:rFonts w:ascii="Garamond" w:hAnsi="Garamond" w:cstheme="minorBidi"/>
          <w:bCs/>
          <w:sz w:val="24"/>
          <w:szCs w:val="24"/>
        </w:rPr>
        <w:t>Permanencia:</w:t>
      </w:r>
      <w:r w:rsidRPr="00621BFA">
        <w:rPr>
          <w:rFonts w:ascii="Garamond" w:hAnsi="Garamond" w:cstheme="minorBidi"/>
          <w:sz w:val="24"/>
          <w:szCs w:val="24"/>
        </w:rPr>
        <w:t xml:space="preserve"> El bienestar estudiantil contempla que los estudiantes reciban apoyo emocional, físico y académico, lo que facilita su permanencia, además de mejorar su rendimiento académico a través acciones como las tutorías y recursos adicionales que habiliten las instituciones oficiales. Lo anterior se fortalece y amplía su campo de acción al sumarse la financiación en el marco de jóvenes a la E a la financiación otorgada por la política de gratuidad del Gobierno nacional, de manera que, dedicar recursos exclusivos para promover acciones y actividades de permanencia impacta positivamente en la reducción del abandono estudiantil como se ha observado en el convenio celebrado por Atenea y la Universidad Nacional de Colombia que persigue dicho propósito. En línea con lo anterior, el fortalecimiento de la calidad docente y curricular garantiza que los programas académicos sean pertinentes y estén alineados con las demandas del mercado laboral y las necesidades sociales, los </w:t>
      </w:r>
      <w:r w:rsidRPr="00621BFA">
        <w:rPr>
          <w:rFonts w:ascii="Garamond" w:hAnsi="Garamond" w:cstheme="minorBidi"/>
          <w:sz w:val="24"/>
          <w:szCs w:val="24"/>
        </w:rPr>
        <w:lastRenderedPageBreak/>
        <w:t>componentes asociados a esta sublínea de inversión al seguir la mejora de la calidad educativa y de la forma en que esta se imparte, facilita la permanencia de los estudiantes al encontrarse motivados con una educación de calidad.</w:t>
      </w:r>
    </w:p>
    <w:p w14:paraId="63D7A047" w14:textId="77777777" w:rsidR="00F92A53" w:rsidRPr="00F92A53" w:rsidRDefault="00F92A53" w:rsidP="00F92A53">
      <w:pPr>
        <w:jc w:val="both"/>
        <w:rPr>
          <w:rFonts w:ascii="Garamond" w:hAnsi="Garamond" w:cstheme="minorBidi"/>
          <w:b/>
          <w:sz w:val="24"/>
          <w:szCs w:val="24"/>
        </w:rPr>
      </w:pPr>
    </w:p>
    <w:p w14:paraId="622CAB6B" w14:textId="383B7588" w:rsidR="00F92A53" w:rsidRDefault="00F92A53" w:rsidP="00F92A53">
      <w:pPr>
        <w:jc w:val="both"/>
        <w:rPr>
          <w:rFonts w:ascii="Garamond" w:hAnsi="Garamond" w:cstheme="minorBidi"/>
          <w:sz w:val="24"/>
          <w:szCs w:val="24"/>
        </w:rPr>
      </w:pPr>
      <w:r w:rsidRPr="0004013C">
        <w:rPr>
          <w:rFonts w:ascii="Garamond" w:hAnsi="Garamond" w:cstheme="minorBidi"/>
          <w:bCs/>
          <w:sz w:val="24"/>
          <w:szCs w:val="24"/>
        </w:rPr>
        <w:t>Desarrollo de ecosistemas científicos en las instituciones oficiales que ofertan de educación superior:</w:t>
      </w:r>
      <w:r w:rsidRPr="0004013C">
        <w:rPr>
          <w:rFonts w:ascii="Garamond" w:hAnsi="Garamond" w:cstheme="minorBidi"/>
          <w:sz w:val="24"/>
          <w:szCs w:val="24"/>
        </w:rPr>
        <w:t xml:space="preserve"> Los ecosistemas científicos promueven la investigación e innovación, atrayendo a estudiantes y fortaleciendo la calidad académica, posicionando a las instituciones como centros de desarrollo científico y tecnológico. Lo anterior tiene especial impacto en el acceso y la permanencia en la educación superior, ya que, por un lado, la participación de la comunidad académica en estos ecosistemas permite el desarrollo de capacidades investigativas en los estudiantes y los docentes que se traducen en productos que impactan positivamente a las sociedad (biológicos, soluciones y tratamiento a enfermedades, diseño y construcción de equipos biomédicos, restauración y cuidado del medio ambiente, entre otros), de manera que, el desarrollo de capacidades investigativas no solo promueve la permanencia en los propios ecosistemas y el proceso formativo del estudiante sino que en articulación con el sector privado, las instituciones oficiales podrán fortalecer sus medios técnicos y tecnológicos en el marco de estos ecosistemas, en dónde patentar productos y obtener regalías que aporten a las arcas de las instituciones para ampliar sus infraestructuras y coberturas educativas. Por tanto, el desarrollo y fortalecimiento de ecosistemas científicos desde la Agencia Atenea son necesarias para atraer el sector privado y se observan desde la inversión y retorno de estos recursos y el impacto que los productos tienen para la sociedad (personas y empresas).</w:t>
      </w:r>
    </w:p>
    <w:p w14:paraId="5C18A817" w14:textId="77777777" w:rsidR="007C42A7" w:rsidRPr="0004013C" w:rsidRDefault="007C42A7" w:rsidP="00F92A53">
      <w:pPr>
        <w:jc w:val="both"/>
        <w:rPr>
          <w:rFonts w:ascii="Garamond" w:hAnsi="Garamond" w:cstheme="minorBidi"/>
          <w:sz w:val="24"/>
          <w:szCs w:val="24"/>
        </w:rPr>
      </w:pPr>
    </w:p>
    <w:p w14:paraId="66B909BA" w14:textId="73CD2DE1" w:rsidR="00F92A53" w:rsidRDefault="00F92A53" w:rsidP="00F92A53">
      <w:pPr>
        <w:jc w:val="both"/>
        <w:rPr>
          <w:rFonts w:ascii="Garamond" w:hAnsi="Garamond" w:cstheme="minorBidi"/>
          <w:sz w:val="24"/>
          <w:szCs w:val="24"/>
        </w:rPr>
      </w:pPr>
      <w:r w:rsidRPr="0004013C">
        <w:rPr>
          <w:rFonts w:ascii="Garamond" w:hAnsi="Garamond" w:cstheme="minorBidi"/>
          <w:sz w:val="24"/>
          <w:szCs w:val="24"/>
        </w:rPr>
        <w:t>El logro de estos tres componentes se realiza mediante las actividades y acciones del plan de inversión contenidas en cuatro Sublíneas de inversión, las cuales son categorías estratégicas dentro de la línea de fortalecimiento que orientan la definición de las actividades y acciones para el acceso, la permanencia y calidad en instituciones oficiales que ofertan educación superior en Bogotá. Estas sublíneas de inversión son:</w:t>
      </w:r>
    </w:p>
    <w:p w14:paraId="21660986" w14:textId="77777777" w:rsidR="007C42A7" w:rsidRPr="0004013C" w:rsidRDefault="007C42A7" w:rsidP="00F92A53">
      <w:pPr>
        <w:jc w:val="both"/>
        <w:rPr>
          <w:rFonts w:ascii="Garamond" w:hAnsi="Garamond" w:cstheme="minorBidi"/>
          <w:sz w:val="24"/>
          <w:szCs w:val="24"/>
        </w:rPr>
      </w:pPr>
    </w:p>
    <w:p w14:paraId="63B706F3" w14:textId="256B9D3C" w:rsidR="00F92A53" w:rsidRDefault="00F92A53" w:rsidP="00F92A53">
      <w:pPr>
        <w:jc w:val="both"/>
        <w:rPr>
          <w:rFonts w:ascii="Garamond" w:hAnsi="Garamond" w:cstheme="minorBidi"/>
          <w:sz w:val="24"/>
          <w:szCs w:val="24"/>
        </w:rPr>
      </w:pPr>
      <w:r w:rsidRPr="0004013C">
        <w:rPr>
          <w:rFonts w:ascii="Garamond" w:hAnsi="Garamond" w:cstheme="minorBidi"/>
          <w:bCs/>
          <w:sz w:val="24"/>
          <w:szCs w:val="24"/>
        </w:rPr>
        <w:t>Bienestar estudiantil integral:</w:t>
      </w:r>
      <w:r w:rsidRPr="0004013C">
        <w:rPr>
          <w:rFonts w:ascii="Garamond" w:hAnsi="Garamond" w:cstheme="minorBidi"/>
          <w:sz w:val="24"/>
          <w:szCs w:val="24"/>
        </w:rPr>
        <w:t xml:space="preserve"> se concibe como un componente estratégico y transversal que articula políticas, procesos, prácticas y culturas institucionales. Su propósito es promover la responsabilidad compartida entre diversos actores de la comunidad educativa, facilitando una formación integral que promueva el desarrollo pleno de las capacidades humanas y la construcción de comunidad inclusiva y participativa. Dentro de este contexto, el objetivo de esta </w:t>
      </w:r>
      <w:r w:rsidR="005B516E" w:rsidRPr="0004013C">
        <w:rPr>
          <w:rFonts w:ascii="Garamond" w:hAnsi="Garamond" w:cstheme="minorBidi"/>
          <w:sz w:val="24"/>
          <w:szCs w:val="24"/>
        </w:rPr>
        <w:t>Sublínea</w:t>
      </w:r>
      <w:r w:rsidRPr="0004013C">
        <w:rPr>
          <w:rFonts w:ascii="Garamond" w:hAnsi="Garamond" w:cstheme="minorBidi"/>
          <w:sz w:val="24"/>
          <w:szCs w:val="24"/>
        </w:rPr>
        <w:t xml:space="preserve"> de inversión es fomentar condiciones que promuevan el bienestar físico, mental, emocional, social y académico de los estudiantes, mediante el abordaje de áreas fundamentales como la promoción de salud física y mental, apoyo académico, inclusión y no discriminación y la integración social que convergen en la permanencia estudiantil y potencialmente repercute en la graduación de los estudiantes. Los componentes que incluyen esta </w:t>
      </w:r>
      <w:r w:rsidR="005B516E" w:rsidRPr="0004013C">
        <w:rPr>
          <w:rFonts w:ascii="Garamond" w:hAnsi="Garamond" w:cstheme="minorBidi"/>
          <w:sz w:val="24"/>
          <w:szCs w:val="24"/>
        </w:rPr>
        <w:t>Sublínea</w:t>
      </w:r>
      <w:r w:rsidRPr="0004013C">
        <w:rPr>
          <w:rFonts w:ascii="Garamond" w:hAnsi="Garamond" w:cstheme="minorBidi"/>
          <w:sz w:val="24"/>
          <w:szCs w:val="24"/>
        </w:rPr>
        <w:t xml:space="preserve"> son: i. Bienestar y desarrollo integral del estudiante: Tiene </w:t>
      </w:r>
      <w:r w:rsidRPr="0004013C">
        <w:rPr>
          <w:rFonts w:ascii="Garamond" w:hAnsi="Garamond" w:cstheme="minorBidi"/>
          <w:sz w:val="24"/>
          <w:szCs w:val="24"/>
        </w:rPr>
        <w:lastRenderedPageBreak/>
        <w:t xml:space="preserve">como objetivo implementar estrategias y servicios orientados a la promoción del bienestar físico, mental y social de los estudiantes. Así, los elementos a abordar en este componente son: </w:t>
      </w:r>
    </w:p>
    <w:p w14:paraId="40BEE51C" w14:textId="77777777" w:rsidR="007C42A7" w:rsidRPr="0004013C" w:rsidRDefault="007C42A7" w:rsidP="00F92A53">
      <w:pPr>
        <w:jc w:val="both"/>
        <w:rPr>
          <w:rFonts w:ascii="Garamond" w:hAnsi="Garamond" w:cstheme="minorBidi"/>
          <w:sz w:val="24"/>
          <w:szCs w:val="24"/>
        </w:rPr>
      </w:pPr>
    </w:p>
    <w:p w14:paraId="1B1B27F7" w14:textId="77777777" w:rsidR="005B516E" w:rsidRDefault="00F92A53" w:rsidP="0055486F">
      <w:pPr>
        <w:pStyle w:val="Prrafodelista"/>
        <w:numPr>
          <w:ilvl w:val="0"/>
          <w:numId w:val="9"/>
        </w:numPr>
        <w:jc w:val="both"/>
        <w:rPr>
          <w:rFonts w:ascii="Garamond" w:hAnsi="Garamond"/>
          <w:sz w:val="24"/>
          <w:szCs w:val="24"/>
        </w:rPr>
      </w:pPr>
      <w:r w:rsidRPr="007C42A7">
        <w:rPr>
          <w:rFonts w:ascii="Garamond" w:hAnsi="Garamond"/>
          <w:sz w:val="24"/>
          <w:szCs w:val="24"/>
        </w:rPr>
        <w:t>Ofrecer programas o estrategias de apoyo emocional y psicológico, tales como análisis de riesgo en salud mental, espacios de acompañamiento psicológico, talleres de manejo del estrés, ansiedad y depresión y redes de apoyo. Así mismo, revisiones médicas preventivas, con orientación en hábitos saludables como nutrición adecuada, actividad física y prevención del consumo de sustancias psicoactivas, entre otros riesgos id</w:t>
      </w:r>
      <w:r w:rsidR="005B516E">
        <w:rPr>
          <w:rFonts w:ascii="Garamond" w:hAnsi="Garamond"/>
          <w:sz w:val="24"/>
          <w:szCs w:val="24"/>
        </w:rPr>
        <w:t>entificados en los estudiantes.</w:t>
      </w:r>
    </w:p>
    <w:p w14:paraId="3DADEEEF" w14:textId="77777777" w:rsidR="005B516E" w:rsidRPr="005B516E" w:rsidRDefault="00F92A53" w:rsidP="0055486F">
      <w:pPr>
        <w:pStyle w:val="Prrafodelista"/>
        <w:numPr>
          <w:ilvl w:val="0"/>
          <w:numId w:val="9"/>
        </w:numPr>
        <w:jc w:val="both"/>
        <w:rPr>
          <w:rFonts w:ascii="Garamond" w:hAnsi="Garamond"/>
          <w:sz w:val="24"/>
          <w:szCs w:val="24"/>
        </w:rPr>
      </w:pPr>
      <w:r w:rsidRPr="005B516E">
        <w:rPr>
          <w:rFonts w:ascii="Garamond" w:eastAsia="Times New Roman" w:hAnsi="Garamond"/>
          <w:sz w:val="24"/>
          <w:szCs w:val="24"/>
        </w:rPr>
        <w:t xml:space="preserve">Impulsar programas que garanticen el acceso a información y servicios relacionados con los derechos sexuales y reproductivos. </w:t>
      </w:r>
    </w:p>
    <w:p w14:paraId="7F3D6203" w14:textId="77777777" w:rsidR="005B516E" w:rsidRPr="005B516E" w:rsidRDefault="00F92A53" w:rsidP="0055486F">
      <w:pPr>
        <w:pStyle w:val="Prrafodelista"/>
        <w:numPr>
          <w:ilvl w:val="0"/>
          <w:numId w:val="9"/>
        </w:numPr>
        <w:jc w:val="both"/>
        <w:rPr>
          <w:rFonts w:ascii="Garamond" w:hAnsi="Garamond"/>
          <w:sz w:val="24"/>
          <w:szCs w:val="24"/>
        </w:rPr>
      </w:pPr>
      <w:r w:rsidRPr="005B516E">
        <w:rPr>
          <w:rFonts w:ascii="Garamond" w:eastAsia="Times New Roman" w:hAnsi="Garamond"/>
          <w:sz w:val="24"/>
          <w:szCs w:val="24"/>
        </w:rPr>
        <w:t xml:space="preserve">Brindar apoyos alimentarios a los estudiantes que favorezcan el bienestar y rendimiento académico. </w:t>
      </w:r>
    </w:p>
    <w:p w14:paraId="63DB6557" w14:textId="77777777" w:rsidR="005B516E" w:rsidRPr="005B516E" w:rsidRDefault="00F92A53" w:rsidP="0055486F">
      <w:pPr>
        <w:pStyle w:val="Prrafodelista"/>
        <w:numPr>
          <w:ilvl w:val="0"/>
          <w:numId w:val="9"/>
        </w:numPr>
        <w:jc w:val="both"/>
        <w:rPr>
          <w:rFonts w:ascii="Garamond" w:hAnsi="Garamond"/>
          <w:sz w:val="24"/>
          <w:szCs w:val="24"/>
        </w:rPr>
      </w:pPr>
      <w:r w:rsidRPr="005B516E">
        <w:rPr>
          <w:rFonts w:ascii="Garamond" w:eastAsia="Times New Roman" w:hAnsi="Garamond"/>
          <w:sz w:val="24"/>
          <w:szCs w:val="24"/>
        </w:rPr>
        <w:t>Facilitar el acceso a servicios de transporte eficientes y asequibles, que promuevan su movilidad. Esto incluye la articulación con el sistema de transporte público para beneficiarios que no cuenten con apoyos de transporte vigentes.</w:t>
      </w:r>
    </w:p>
    <w:p w14:paraId="50C8CD70" w14:textId="4FBB69EC" w:rsidR="00F92A53" w:rsidRPr="005B516E" w:rsidRDefault="00F92A53" w:rsidP="0055486F">
      <w:pPr>
        <w:pStyle w:val="Prrafodelista"/>
        <w:numPr>
          <w:ilvl w:val="0"/>
          <w:numId w:val="9"/>
        </w:numPr>
        <w:jc w:val="both"/>
        <w:rPr>
          <w:rFonts w:ascii="Garamond" w:hAnsi="Garamond"/>
          <w:sz w:val="24"/>
          <w:szCs w:val="24"/>
        </w:rPr>
      </w:pPr>
      <w:r w:rsidRPr="005B516E">
        <w:rPr>
          <w:rFonts w:ascii="Garamond" w:eastAsia="Times New Roman" w:hAnsi="Garamond"/>
          <w:sz w:val="24"/>
          <w:szCs w:val="24"/>
        </w:rPr>
        <w:t>Servicios culturales, deportivos y recreativos. Fomentar la integración de los estudiantes en actividades extracurriculares que contribuyan al desarrollo de competencias específicas, aliviando el estrés y mejorando el bienestar emocional. Esto incluye la dotación adecuada y suficiente de recursos para el desarrollo óptimo de estas.</w:t>
      </w:r>
    </w:p>
    <w:p w14:paraId="427E1263" w14:textId="6184F767" w:rsidR="00F92A53" w:rsidRDefault="00F92A53" w:rsidP="00F92A53">
      <w:pPr>
        <w:jc w:val="both"/>
        <w:rPr>
          <w:rFonts w:ascii="Garamond" w:hAnsi="Garamond" w:cstheme="minorBidi"/>
          <w:sz w:val="24"/>
          <w:szCs w:val="24"/>
        </w:rPr>
      </w:pPr>
      <w:r w:rsidRPr="0004013C">
        <w:rPr>
          <w:rFonts w:ascii="Garamond" w:hAnsi="Garamond" w:cstheme="minorBidi"/>
          <w:bCs/>
          <w:sz w:val="24"/>
          <w:szCs w:val="24"/>
        </w:rPr>
        <w:t>Mejoramiento de ambientes de aprendizaje:</w:t>
      </w:r>
      <w:r w:rsidRPr="0004013C">
        <w:rPr>
          <w:rFonts w:ascii="Garamond" w:hAnsi="Garamond" w:cstheme="minorBidi"/>
          <w:sz w:val="24"/>
          <w:szCs w:val="24"/>
        </w:rPr>
        <w:t xml:space="preserve"> El mejoramiento de ambientes de aprendizaje corresponde a la optimización de espacios educativos para facilitar una enseñanza innovadora y adaptada a las necesidades de los estudiantes en condiciones de calidad. Este busca desarrollar entornos de aprendizaje dinámicos y flexibles, en los cuales los estudiantes puedan interactuar activamente con el entorno educativo y favoreciendo su desarrollo integral. En este marco, el objetivo de esta </w:t>
      </w:r>
      <w:r w:rsidR="00CD71FA" w:rsidRPr="0004013C">
        <w:rPr>
          <w:rFonts w:ascii="Garamond" w:hAnsi="Garamond" w:cstheme="minorBidi"/>
          <w:sz w:val="24"/>
          <w:szCs w:val="24"/>
        </w:rPr>
        <w:t>Sublínea</w:t>
      </w:r>
      <w:r w:rsidRPr="0004013C">
        <w:rPr>
          <w:rFonts w:ascii="Garamond" w:hAnsi="Garamond" w:cstheme="minorBidi"/>
          <w:sz w:val="24"/>
          <w:szCs w:val="24"/>
        </w:rPr>
        <w:t xml:space="preserve"> es mejorar los ambientes de aprendizaje, asegurando que estén adecuadamente diseñados, equipados y dotados como unidad integral, más que una secuencia de espacios temáticos. Esto busca promover el bienestar integral de la comunidad académica, según sus contextos educativos, geográficos y culturales, con el fin de que los procesos de formación, investigación y extensión se desarrollen en condiciones adecuadas.</w:t>
      </w:r>
    </w:p>
    <w:p w14:paraId="782B70F0" w14:textId="77777777" w:rsidR="007C42A7" w:rsidRPr="0004013C" w:rsidRDefault="007C42A7" w:rsidP="00F92A53">
      <w:pPr>
        <w:jc w:val="both"/>
        <w:rPr>
          <w:rFonts w:ascii="Garamond" w:hAnsi="Garamond" w:cstheme="minorBidi"/>
          <w:sz w:val="24"/>
          <w:szCs w:val="24"/>
        </w:rPr>
      </w:pPr>
    </w:p>
    <w:p w14:paraId="79942B7D" w14:textId="3D3B0F27" w:rsidR="00F92A53" w:rsidRDefault="00F92A53" w:rsidP="00F92A53">
      <w:pPr>
        <w:jc w:val="both"/>
        <w:rPr>
          <w:rFonts w:ascii="Garamond" w:hAnsi="Garamond" w:cstheme="minorBidi"/>
          <w:sz w:val="24"/>
          <w:szCs w:val="24"/>
        </w:rPr>
      </w:pPr>
      <w:r w:rsidRPr="0004013C">
        <w:rPr>
          <w:rFonts w:ascii="Garamond" w:hAnsi="Garamond" w:cstheme="minorBidi"/>
          <w:bCs/>
          <w:sz w:val="24"/>
          <w:szCs w:val="24"/>
        </w:rPr>
        <w:t>Fortalecimiento en la calidad docente y curricular:</w:t>
      </w:r>
      <w:r w:rsidRPr="0004013C">
        <w:rPr>
          <w:rFonts w:ascii="Garamond" w:hAnsi="Garamond" w:cstheme="minorBidi"/>
          <w:sz w:val="24"/>
          <w:szCs w:val="24"/>
        </w:rPr>
        <w:t xml:space="preserve"> corresponde a la capacidad de mejorar las habilidades pedagógicas en sus programas educativos, a través de la formación y actualización continua de los docentes, y la adaptación de los currículos a las necesidades del entorno productivo y social. En este marco, el objetivo de esta línea de inversión es ofrecer oportunidades de formación para los docentes de las instituciones en la ciudad, permitiéndoles potenciar sus habilidades y enriquecer la enseñanza en sus respectivas disciplinas, así como promover prácticas pedagógicas innovadoras.</w:t>
      </w:r>
    </w:p>
    <w:p w14:paraId="1DC11B32" w14:textId="77777777" w:rsidR="00CD71FA" w:rsidRPr="0004013C" w:rsidRDefault="00CD71FA" w:rsidP="00F92A53">
      <w:pPr>
        <w:jc w:val="both"/>
        <w:rPr>
          <w:rFonts w:ascii="Garamond" w:hAnsi="Garamond" w:cstheme="minorBidi"/>
          <w:sz w:val="24"/>
          <w:szCs w:val="24"/>
        </w:rPr>
      </w:pPr>
    </w:p>
    <w:p w14:paraId="44555E36" w14:textId="3F81D6DF" w:rsidR="00F92A53" w:rsidRDefault="00F92A53" w:rsidP="00F92A53">
      <w:pPr>
        <w:jc w:val="both"/>
        <w:rPr>
          <w:rFonts w:ascii="Garamond" w:hAnsi="Garamond" w:cstheme="minorBidi"/>
          <w:sz w:val="24"/>
          <w:szCs w:val="24"/>
        </w:rPr>
      </w:pPr>
      <w:r w:rsidRPr="0004013C">
        <w:rPr>
          <w:rFonts w:ascii="Garamond" w:hAnsi="Garamond" w:cstheme="minorBidi"/>
          <w:bCs/>
          <w:sz w:val="24"/>
          <w:szCs w:val="24"/>
        </w:rPr>
        <w:t xml:space="preserve">Ecosistemas científicos para el fortalecimiento de la CTeI: </w:t>
      </w:r>
      <w:r w:rsidRPr="0004013C">
        <w:rPr>
          <w:rFonts w:ascii="Garamond" w:hAnsi="Garamond" w:cstheme="minorBidi"/>
          <w:sz w:val="24"/>
          <w:szCs w:val="24"/>
        </w:rPr>
        <w:t xml:space="preserve">Los ecosistemas científicos en las instituciones oficiales hacen referencia a la creación de un entorno dinámico, colaborativo e interdisciplinario, que fomenta la investigación, innovación y transferencia de conocimiento en temáticas priorizadas por el Consejo Departamental de Ciencia, Tecnología e Innovación (CODECTI) Distrital. </w:t>
      </w:r>
    </w:p>
    <w:p w14:paraId="731D0F10" w14:textId="77777777" w:rsidR="007C42A7" w:rsidRPr="0004013C" w:rsidRDefault="007C42A7" w:rsidP="00F92A53">
      <w:pPr>
        <w:jc w:val="both"/>
        <w:rPr>
          <w:rFonts w:ascii="Garamond" w:hAnsi="Garamond" w:cstheme="minorBidi"/>
          <w:sz w:val="24"/>
          <w:szCs w:val="24"/>
        </w:rPr>
      </w:pPr>
    </w:p>
    <w:p w14:paraId="1A0C0494" w14:textId="7F29C10D" w:rsidR="00F92A53" w:rsidRDefault="00F92A53" w:rsidP="00F92A53">
      <w:pPr>
        <w:jc w:val="both"/>
        <w:rPr>
          <w:rFonts w:ascii="Garamond" w:hAnsi="Garamond" w:cstheme="minorBidi"/>
          <w:sz w:val="24"/>
          <w:szCs w:val="24"/>
        </w:rPr>
      </w:pPr>
      <w:r w:rsidRPr="001540C8">
        <w:rPr>
          <w:rFonts w:ascii="Garamond" w:hAnsi="Garamond" w:cstheme="minorBidi"/>
          <w:sz w:val="24"/>
          <w:szCs w:val="24"/>
        </w:rPr>
        <w:t>Estos ecosistemas integran a docentes, estudiantes, investigadores, empresas y otros actores del sector productivo, con el objetivo de generar y aplicar conocimiento científico que responda de manera efectiva a los desafíos sociales, culturales, económicos y medioambientales contemporáneos. De esta manera, el objetivo de esta línea es consolidar ecosistemas científicos colaborativos en las instituciones oficiales que ofertan educación superior en Bogotá, de tal forma que fortalezcan su capacidad de desarrollo en CTeI, promoviendo la generación de conocimiento aplicado y su transferencia al sector productivo. Las temáticas priorizadas, definidas por el CODECTI Distrital, son: i) Bioeconomía y bioagricultura; ii) Medicina y ciencias de la salud; iii) Economía circular y sostenibilidad; iv) Industrias culturales y creativas; y v) Inteligencia artificial, Industria 4.0 y tecnologías convergentes, esta última con una connotación transversal en todas las áreas.</w:t>
      </w:r>
    </w:p>
    <w:p w14:paraId="7FE01E9B" w14:textId="77777777" w:rsidR="001540C8" w:rsidRPr="001540C8" w:rsidRDefault="001540C8" w:rsidP="00F92A53">
      <w:pPr>
        <w:jc w:val="both"/>
        <w:rPr>
          <w:rFonts w:ascii="Garamond" w:hAnsi="Garamond" w:cstheme="minorBidi"/>
          <w:sz w:val="24"/>
          <w:szCs w:val="24"/>
        </w:rPr>
      </w:pPr>
    </w:p>
    <w:p w14:paraId="5A1855C4" w14:textId="7D99518F" w:rsidR="00F92A53" w:rsidRPr="00507790" w:rsidRDefault="00F92A53" w:rsidP="00F92A53">
      <w:pPr>
        <w:jc w:val="both"/>
        <w:rPr>
          <w:rFonts w:ascii="Garamond" w:hAnsi="Garamond" w:cstheme="minorBidi"/>
          <w:sz w:val="24"/>
          <w:szCs w:val="24"/>
        </w:rPr>
      </w:pPr>
      <w:r w:rsidRPr="00507790">
        <w:rPr>
          <w:rFonts w:ascii="Garamond" w:hAnsi="Garamond" w:cstheme="minorBidi"/>
          <w:sz w:val="24"/>
          <w:szCs w:val="24"/>
        </w:rPr>
        <w:t>Esta línea permitirá impactar a dos tipos de beneficiarios:</w:t>
      </w:r>
    </w:p>
    <w:p w14:paraId="7DDACC2A" w14:textId="77777777" w:rsidR="00507790" w:rsidRPr="00507790" w:rsidRDefault="00507790" w:rsidP="00F92A53">
      <w:pPr>
        <w:jc w:val="both"/>
        <w:rPr>
          <w:rFonts w:ascii="Garamond" w:hAnsi="Garamond" w:cstheme="minorBidi"/>
          <w:sz w:val="24"/>
          <w:szCs w:val="24"/>
        </w:rPr>
      </w:pPr>
    </w:p>
    <w:p w14:paraId="729F1C4A" w14:textId="77777777" w:rsidR="00F92A53" w:rsidRPr="00507790" w:rsidRDefault="00F92A53" w:rsidP="0055486F">
      <w:pPr>
        <w:numPr>
          <w:ilvl w:val="0"/>
          <w:numId w:val="33"/>
        </w:numPr>
        <w:jc w:val="both"/>
        <w:rPr>
          <w:rFonts w:ascii="Garamond" w:hAnsi="Garamond" w:cstheme="minorBidi"/>
          <w:sz w:val="24"/>
          <w:szCs w:val="24"/>
        </w:rPr>
      </w:pPr>
      <w:r w:rsidRPr="00507790">
        <w:rPr>
          <w:rFonts w:ascii="Garamond" w:hAnsi="Garamond" w:cstheme="minorBidi"/>
          <w:bCs/>
          <w:sz w:val="24"/>
          <w:szCs w:val="24"/>
        </w:rPr>
        <w:t>Beneficiarios directos:</w:t>
      </w:r>
      <w:r w:rsidRPr="00507790">
        <w:rPr>
          <w:rFonts w:ascii="Garamond" w:hAnsi="Garamond" w:cstheme="minorBidi"/>
          <w:sz w:val="24"/>
          <w:szCs w:val="24"/>
        </w:rPr>
        <w:t xml:space="preserve"> priorizados por las instituciones de educación superior por su vulnerabilidad y a partir de las directrices establecidas por Atenea en el lineamiento operativo de aspirantes. Estos jóvenes recibirán el apoyo económico de sostenimiento que financiarán los Fondos de Desarrollo Local y sobre los cuales se aplicarán las actividades y acciones específicas de la sublínea de inversión de “Bienestar estudiantil integral” que promoverá la permanencia de estos jóvenes vulnerables. Los beneficiarios directos serán los jóvenes reportados para el cumplimiento de las metas establecidas por los FDL. Con lo anterior, la Agencia maximizará el uso de los recursos destinados por los Fondos con el reemplazo de aquellos jóvenes que pierdan su calidad de estudiantes y por tanto de beneficiarios del programa, permitiendo la implementación de la línea con los recursos proyectados en plan de inversiones de las IES e impactando a los jóvenes más vulnerables identificados por estas.</w:t>
      </w:r>
    </w:p>
    <w:p w14:paraId="5D0D25C9" w14:textId="2F3C2E31" w:rsidR="00F92A53" w:rsidRDefault="00F92A53" w:rsidP="0055486F">
      <w:pPr>
        <w:numPr>
          <w:ilvl w:val="0"/>
          <w:numId w:val="33"/>
        </w:numPr>
        <w:jc w:val="both"/>
        <w:rPr>
          <w:rFonts w:ascii="Garamond" w:hAnsi="Garamond" w:cstheme="minorBidi"/>
          <w:sz w:val="24"/>
          <w:szCs w:val="24"/>
        </w:rPr>
      </w:pPr>
      <w:r w:rsidRPr="00507790">
        <w:rPr>
          <w:rFonts w:ascii="Garamond" w:hAnsi="Garamond" w:cstheme="minorBidi"/>
          <w:bCs/>
          <w:sz w:val="24"/>
          <w:szCs w:val="24"/>
        </w:rPr>
        <w:t>Beneficiarios indirectos:</w:t>
      </w:r>
      <w:r w:rsidRPr="00507790">
        <w:rPr>
          <w:rFonts w:ascii="Garamond" w:hAnsi="Garamond" w:cstheme="minorBidi"/>
          <w:sz w:val="24"/>
          <w:szCs w:val="24"/>
        </w:rPr>
        <w:t xml:space="preserve"> corresponde a la comunidad académica de las instituciones que se benefician de las acciones y actividades del plan de inversiones de las IES en sus sub líneas de mejoramiento de ambientes de aprendizaje, fortalecimiento de la calidad docente y curricular y fortalecimiento de los ecosistemas de CTeI.</w:t>
      </w:r>
    </w:p>
    <w:p w14:paraId="32C4D73B" w14:textId="77777777" w:rsidR="00507790" w:rsidRPr="00507790" w:rsidRDefault="00507790" w:rsidP="00507790">
      <w:pPr>
        <w:ind w:left="720"/>
        <w:jc w:val="both"/>
        <w:rPr>
          <w:rFonts w:ascii="Garamond" w:hAnsi="Garamond" w:cstheme="minorBidi"/>
          <w:sz w:val="24"/>
          <w:szCs w:val="24"/>
        </w:rPr>
      </w:pPr>
    </w:p>
    <w:p w14:paraId="5C6F873B" w14:textId="19DA43FC" w:rsidR="00F92A53" w:rsidRDefault="00F92A53" w:rsidP="00F92A53">
      <w:pPr>
        <w:jc w:val="both"/>
        <w:rPr>
          <w:rFonts w:ascii="Garamond" w:hAnsi="Garamond" w:cstheme="minorBidi"/>
          <w:sz w:val="24"/>
          <w:szCs w:val="24"/>
        </w:rPr>
      </w:pPr>
      <w:r w:rsidRPr="00507790">
        <w:rPr>
          <w:rFonts w:ascii="Garamond" w:hAnsi="Garamond" w:cstheme="minorBidi"/>
          <w:sz w:val="24"/>
          <w:szCs w:val="24"/>
        </w:rPr>
        <w:t xml:space="preserve">Al respecto del </w:t>
      </w:r>
      <w:r w:rsidRPr="00507790">
        <w:rPr>
          <w:rFonts w:ascii="Garamond" w:hAnsi="Garamond" w:cstheme="minorBidi"/>
          <w:bCs/>
          <w:sz w:val="24"/>
          <w:szCs w:val="24"/>
        </w:rPr>
        <w:t>valor de referencia</w:t>
      </w:r>
      <w:r w:rsidRPr="00507790">
        <w:rPr>
          <w:rFonts w:ascii="Garamond" w:hAnsi="Garamond" w:cstheme="minorBidi"/>
          <w:sz w:val="24"/>
          <w:szCs w:val="24"/>
        </w:rPr>
        <w:t xml:space="preserve"> de esta línea se cuenta con el antecedente de la línea de admisión directa de “Jóvenes a la U” en la cual se reconoció una canasta conformada por los bienes y servicios </w:t>
      </w:r>
      <w:r w:rsidRPr="00507790">
        <w:rPr>
          <w:rFonts w:ascii="Garamond" w:hAnsi="Garamond" w:cstheme="minorBidi"/>
          <w:sz w:val="24"/>
          <w:szCs w:val="24"/>
        </w:rPr>
        <w:lastRenderedPageBreak/>
        <w:t>administrativos y operativos necesarios para que las IES impartieran la formación académica con las condiciones necesarias para los beneficiarios del programa, tales como: costo hora salón, costo servicio docente, servicios públicos, vigilancia y aseo, bienestar regular, seguros y mantenimientos otros costos administrativos.</w:t>
      </w:r>
    </w:p>
    <w:p w14:paraId="656ED357" w14:textId="77777777" w:rsidR="00507790" w:rsidRPr="00507790" w:rsidRDefault="00507790" w:rsidP="00F92A53">
      <w:pPr>
        <w:jc w:val="both"/>
        <w:rPr>
          <w:rFonts w:ascii="Garamond" w:hAnsi="Garamond" w:cstheme="minorBidi"/>
          <w:sz w:val="24"/>
          <w:szCs w:val="24"/>
        </w:rPr>
      </w:pPr>
    </w:p>
    <w:p w14:paraId="3DA3BBE6" w14:textId="190E077F" w:rsidR="00F92A53" w:rsidRDefault="00F92A53" w:rsidP="00F92A53">
      <w:pPr>
        <w:jc w:val="both"/>
        <w:rPr>
          <w:rFonts w:ascii="Garamond" w:hAnsi="Garamond" w:cstheme="minorBidi"/>
          <w:sz w:val="24"/>
          <w:szCs w:val="24"/>
        </w:rPr>
      </w:pPr>
      <w:r w:rsidRPr="00507790">
        <w:rPr>
          <w:rFonts w:ascii="Garamond" w:hAnsi="Garamond" w:cstheme="minorBidi"/>
          <w:sz w:val="24"/>
          <w:szCs w:val="24"/>
        </w:rPr>
        <w:t xml:space="preserve">Ahora bien, el </w:t>
      </w:r>
      <w:r w:rsidRPr="00507790">
        <w:rPr>
          <w:rFonts w:ascii="Garamond" w:hAnsi="Garamond" w:cstheme="minorBidi"/>
          <w:bCs/>
          <w:sz w:val="24"/>
          <w:szCs w:val="24"/>
        </w:rPr>
        <w:t>valor de referencia</w:t>
      </w:r>
      <w:r w:rsidRPr="00507790">
        <w:rPr>
          <w:rFonts w:ascii="Garamond" w:hAnsi="Garamond" w:cstheme="minorBidi"/>
          <w:sz w:val="24"/>
          <w:szCs w:val="24"/>
        </w:rPr>
        <w:t xml:space="preserve"> pasa de aspectos netamente administrativos y operativos de la línea de admisión directa a reflejar el plan de inversiones que le apunta directamente al fortalecimiento del acceso y la permanencia en la educación superior en la ciudad que se oferta por parte de las instituciones oficiales priorizadas en “Jóvenes a la E”, en tal sentido, este valor financiará acciones, actividades y entre otros aspectos:</w:t>
      </w:r>
    </w:p>
    <w:p w14:paraId="4A425F0A" w14:textId="77777777" w:rsidR="00417EC5" w:rsidRPr="00507790" w:rsidRDefault="00417EC5" w:rsidP="00F92A53">
      <w:pPr>
        <w:jc w:val="both"/>
        <w:rPr>
          <w:rFonts w:ascii="Garamond" w:hAnsi="Garamond" w:cstheme="minorBidi"/>
          <w:sz w:val="24"/>
          <w:szCs w:val="24"/>
        </w:rPr>
      </w:pPr>
    </w:p>
    <w:p w14:paraId="4D6C3BBF" w14:textId="72697F2E" w:rsidR="00F92A53" w:rsidRDefault="00F92A53" w:rsidP="00F92A53">
      <w:pPr>
        <w:jc w:val="both"/>
        <w:rPr>
          <w:rFonts w:ascii="Garamond" w:hAnsi="Garamond" w:cstheme="minorBidi"/>
          <w:b/>
          <w:sz w:val="24"/>
          <w:szCs w:val="24"/>
          <w:u w:val="single"/>
        </w:rPr>
      </w:pPr>
      <w:r w:rsidRPr="00F92A53">
        <w:rPr>
          <w:rFonts w:ascii="Garamond" w:hAnsi="Garamond" w:cstheme="minorBidi"/>
          <w:b/>
          <w:sz w:val="24"/>
          <w:szCs w:val="24"/>
          <w:u w:val="single"/>
        </w:rPr>
        <w:t>Bienestar estudiantil integral:</w:t>
      </w:r>
    </w:p>
    <w:p w14:paraId="5440F9D3" w14:textId="77777777" w:rsidR="00417EC5" w:rsidRPr="00F92A53" w:rsidRDefault="00417EC5" w:rsidP="00F92A53">
      <w:pPr>
        <w:jc w:val="both"/>
        <w:rPr>
          <w:rFonts w:ascii="Garamond" w:hAnsi="Garamond" w:cstheme="minorBidi"/>
          <w:b/>
          <w:sz w:val="24"/>
          <w:szCs w:val="24"/>
          <w:u w:val="single"/>
        </w:rPr>
      </w:pPr>
    </w:p>
    <w:p w14:paraId="4C3CFC62" w14:textId="77777777" w:rsidR="00F92A53" w:rsidRPr="00417EC5" w:rsidRDefault="00F92A53" w:rsidP="0055486F">
      <w:pPr>
        <w:numPr>
          <w:ilvl w:val="0"/>
          <w:numId w:val="32"/>
        </w:numPr>
        <w:jc w:val="both"/>
        <w:rPr>
          <w:rFonts w:ascii="Garamond" w:hAnsi="Garamond" w:cstheme="minorBidi"/>
          <w:sz w:val="24"/>
          <w:szCs w:val="24"/>
        </w:rPr>
      </w:pPr>
      <w:r w:rsidRPr="00417EC5">
        <w:rPr>
          <w:rFonts w:ascii="Garamond" w:hAnsi="Garamond" w:cstheme="minorBidi"/>
          <w:sz w:val="24"/>
          <w:szCs w:val="24"/>
        </w:rPr>
        <w:t>Entrega de bonos alimenticios y habilitación de espacios integrales para la salud física y emocional de los beneficiarios.</w:t>
      </w:r>
    </w:p>
    <w:p w14:paraId="5AAB07F4" w14:textId="77777777" w:rsidR="00F92A53" w:rsidRPr="00417EC5" w:rsidRDefault="00F92A53" w:rsidP="0055486F">
      <w:pPr>
        <w:numPr>
          <w:ilvl w:val="0"/>
          <w:numId w:val="32"/>
        </w:numPr>
        <w:jc w:val="both"/>
        <w:rPr>
          <w:rFonts w:ascii="Garamond" w:hAnsi="Garamond" w:cstheme="minorBidi"/>
          <w:sz w:val="24"/>
          <w:szCs w:val="24"/>
        </w:rPr>
      </w:pPr>
      <w:r w:rsidRPr="00417EC5">
        <w:rPr>
          <w:rFonts w:ascii="Garamond" w:hAnsi="Garamond" w:cstheme="minorBidi"/>
          <w:sz w:val="24"/>
          <w:szCs w:val="24"/>
        </w:rPr>
        <w:t>Talleres, intervenciones y acompañamiento específico en salud mental, física y psicosocial.</w:t>
      </w:r>
    </w:p>
    <w:p w14:paraId="6E5CF900" w14:textId="77777777" w:rsidR="00F92A53" w:rsidRDefault="00F92A53" w:rsidP="0055486F">
      <w:pPr>
        <w:numPr>
          <w:ilvl w:val="0"/>
          <w:numId w:val="32"/>
        </w:numPr>
        <w:jc w:val="both"/>
        <w:rPr>
          <w:rFonts w:ascii="Garamond" w:hAnsi="Garamond" w:cstheme="minorBidi"/>
          <w:sz w:val="24"/>
          <w:szCs w:val="24"/>
        </w:rPr>
      </w:pPr>
      <w:r w:rsidRPr="00417EC5">
        <w:rPr>
          <w:rFonts w:ascii="Garamond" w:hAnsi="Garamond" w:cstheme="minorBidi"/>
          <w:sz w:val="24"/>
          <w:szCs w:val="24"/>
        </w:rPr>
        <w:t>Acompañamiento académico y habilitación de espacios de tutorías, segunda lengua y establecimiento de mecanismos de alertas tempranas.</w:t>
      </w:r>
    </w:p>
    <w:p w14:paraId="5EDE0870" w14:textId="77777777" w:rsidR="00EE0DE7" w:rsidRPr="00417EC5" w:rsidRDefault="00EE0DE7" w:rsidP="00EE0DE7">
      <w:pPr>
        <w:ind w:left="720"/>
        <w:jc w:val="both"/>
        <w:rPr>
          <w:rFonts w:ascii="Garamond" w:hAnsi="Garamond" w:cstheme="minorBidi"/>
          <w:sz w:val="24"/>
          <w:szCs w:val="24"/>
        </w:rPr>
      </w:pPr>
    </w:p>
    <w:p w14:paraId="7FC95B46" w14:textId="27FC39F0" w:rsidR="00F92A53" w:rsidRDefault="00F92A53" w:rsidP="00F92A53">
      <w:pPr>
        <w:jc w:val="both"/>
        <w:rPr>
          <w:rFonts w:ascii="Garamond" w:hAnsi="Garamond" w:cstheme="minorBidi"/>
          <w:b/>
          <w:sz w:val="24"/>
          <w:szCs w:val="24"/>
          <w:u w:val="single"/>
        </w:rPr>
      </w:pPr>
      <w:r w:rsidRPr="00F92A53">
        <w:rPr>
          <w:rFonts w:ascii="Garamond" w:hAnsi="Garamond" w:cstheme="minorBidi"/>
          <w:b/>
          <w:sz w:val="24"/>
          <w:szCs w:val="24"/>
          <w:u w:val="single"/>
        </w:rPr>
        <w:t>Mejoramiento de ambientes de aprendizaje:</w:t>
      </w:r>
    </w:p>
    <w:p w14:paraId="124770E6" w14:textId="77777777" w:rsidR="00080405" w:rsidRPr="00F92A53" w:rsidRDefault="00080405" w:rsidP="00F92A53">
      <w:pPr>
        <w:jc w:val="both"/>
        <w:rPr>
          <w:rFonts w:ascii="Garamond" w:hAnsi="Garamond" w:cstheme="minorBidi"/>
          <w:b/>
          <w:sz w:val="24"/>
          <w:szCs w:val="24"/>
          <w:u w:val="single"/>
        </w:rPr>
      </w:pPr>
    </w:p>
    <w:p w14:paraId="6ABF8A62" w14:textId="77777777" w:rsidR="00F92A53" w:rsidRPr="00080405" w:rsidRDefault="00F92A53" w:rsidP="0055486F">
      <w:pPr>
        <w:numPr>
          <w:ilvl w:val="0"/>
          <w:numId w:val="32"/>
        </w:numPr>
        <w:jc w:val="both"/>
        <w:rPr>
          <w:rFonts w:ascii="Garamond" w:hAnsi="Garamond" w:cstheme="minorBidi"/>
          <w:sz w:val="24"/>
          <w:szCs w:val="24"/>
        </w:rPr>
      </w:pPr>
      <w:r w:rsidRPr="00080405">
        <w:rPr>
          <w:rFonts w:ascii="Garamond" w:hAnsi="Garamond" w:cstheme="minorBidi"/>
          <w:sz w:val="24"/>
          <w:szCs w:val="24"/>
        </w:rPr>
        <w:t>Adquisición y dotación de equipos y herramientas para espacios físicos y virtuales para la formación académica con calidad.</w:t>
      </w:r>
    </w:p>
    <w:p w14:paraId="512CB87A" w14:textId="7B531222" w:rsidR="00F92A53" w:rsidRPr="00080405" w:rsidRDefault="00F92A53" w:rsidP="0055486F">
      <w:pPr>
        <w:numPr>
          <w:ilvl w:val="0"/>
          <w:numId w:val="32"/>
        </w:numPr>
        <w:jc w:val="both"/>
        <w:rPr>
          <w:rFonts w:ascii="Garamond" w:hAnsi="Garamond" w:cstheme="minorBidi"/>
          <w:sz w:val="24"/>
          <w:szCs w:val="24"/>
        </w:rPr>
      </w:pPr>
      <w:r w:rsidRPr="00080405">
        <w:rPr>
          <w:rFonts w:ascii="Garamond" w:hAnsi="Garamond" w:cstheme="minorBidi"/>
          <w:sz w:val="24"/>
          <w:szCs w:val="24"/>
        </w:rPr>
        <w:t>Mejoramiento y adecuación de espacios destinados a la enseñanza y el bienestar estudiantil. Estos mejoramientos permitirán la ampliación y habilitación de estos promoviendo formación con en condiciones de máxima calidad, fortaleciendo el acceso y la permanencia en los procesos formativos.</w:t>
      </w:r>
    </w:p>
    <w:p w14:paraId="3CEB9B10" w14:textId="77777777" w:rsidR="00080405" w:rsidRPr="00F92A53" w:rsidRDefault="00080405" w:rsidP="00080405">
      <w:pPr>
        <w:ind w:left="720"/>
        <w:jc w:val="both"/>
        <w:rPr>
          <w:rFonts w:ascii="Garamond" w:hAnsi="Garamond" w:cstheme="minorBidi"/>
          <w:b/>
          <w:sz w:val="24"/>
          <w:szCs w:val="24"/>
        </w:rPr>
      </w:pPr>
    </w:p>
    <w:p w14:paraId="3BAE0938" w14:textId="409E864D" w:rsidR="00F92A53" w:rsidRDefault="00F92A53" w:rsidP="00F92A53">
      <w:pPr>
        <w:jc w:val="both"/>
        <w:rPr>
          <w:rFonts w:ascii="Garamond" w:hAnsi="Garamond" w:cstheme="minorBidi"/>
          <w:b/>
          <w:sz w:val="24"/>
          <w:szCs w:val="24"/>
          <w:u w:val="single"/>
        </w:rPr>
      </w:pPr>
      <w:r w:rsidRPr="00F92A53">
        <w:rPr>
          <w:rFonts w:ascii="Garamond" w:hAnsi="Garamond" w:cstheme="minorBidi"/>
          <w:b/>
          <w:sz w:val="24"/>
          <w:szCs w:val="24"/>
          <w:u w:val="single"/>
        </w:rPr>
        <w:t>Fortalecimiento de la calidad docente y curricular:</w:t>
      </w:r>
    </w:p>
    <w:p w14:paraId="1C9310D7" w14:textId="77777777" w:rsidR="00080405" w:rsidRPr="00F92A53" w:rsidRDefault="00080405" w:rsidP="00F92A53">
      <w:pPr>
        <w:jc w:val="both"/>
        <w:rPr>
          <w:rFonts w:ascii="Garamond" w:hAnsi="Garamond" w:cstheme="minorBidi"/>
          <w:b/>
          <w:sz w:val="24"/>
          <w:szCs w:val="24"/>
          <w:u w:val="single"/>
        </w:rPr>
      </w:pPr>
    </w:p>
    <w:p w14:paraId="1EA48E93" w14:textId="77777777" w:rsidR="00F92A53" w:rsidRPr="00080405" w:rsidRDefault="00F92A53" w:rsidP="0055486F">
      <w:pPr>
        <w:numPr>
          <w:ilvl w:val="0"/>
          <w:numId w:val="32"/>
        </w:numPr>
        <w:jc w:val="both"/>
        <w:rPr>
          <w:rFonts w:ascii="Garamond" w:hAnsi="Garamond" w:cstheme="minorBidi"/>
          <w:sz w:val="24"/>
          <w:szCs w:val="24"/>
        </w:rPr>
      </w:pPr>
      <w:r w:rsidRPr="00080405">
        <w:rPr>
          <w:rFonts w:ascii="Garamond" w:hAnsi="Garamond" w:cstheme="minorBidi"/>
          <w:sz w:val="24"/>
          <w:szCs w:val="24"/>
        </w:rPr>
        <w:t>Desarrollo de procesos de mejora a los currículums académicos para la modernización de la formación que apunta a la calidad.</w:t>
      </w:r>
    </w:p>
    <w:p w14:paraId="29FE6017" w14:textId="0E94103B" w:rsidR="00F92A53" w:rsidRPr="00080405" w:rsidRDefault="00F92A53" w:rsidP="0055486F">
      <w:pPr>
        <w:numPr>
          <w:ilvl w:val="0"/>
          <w:numId w:val="32"/>
        </w:numPr>
        <w:jc w:val="both"/>
        <w:rPr>
          <w:rFonts w:ascii="Garamond" w:hAnsi="Garamond" w:cstheme="minorBidi"/>
          <w:sz w:val="24"/>
          <w:szCs w:val="24"/>
        </w:rPr>
      </w:pPr>
      <w:r w:rsidRPr="00080405">
        <w:rPr>
          <w:rFonts w:ascii="Garamond" w:hAnsi="Garamond" w:cstheme="minorBidi"/>
          <w:sz w:val="24"/>
          <w:szCs w:val="24"/>
        </w:rPr>
        <w:t>Activación de herramientas y capacitación docente para mejorar los procesos de enseñanza que motiven la asistencia y éxito académico.</w:t>
      </w:r>
    </w:p>
    <w:p w14:paraId="613F5AD5" w14:textId="77777777" w:rsidR="00080405" w:rsidRPr="00F92A53" w:rsidRDefault="00080405" w:rsidP="00080405">
      <w:pPr>
        <w:ind w:left="720"/>
        <w:jc w:val="both"/>
        <w:rPr>
          <w:rFonts w:ascii="Garamond" w:hAnsi="Garamond" w:cstheme="minorBidi"/>
          <w:b/>
          <w:sz w:val="24"/>
          <w:szCs w:val="24"/>
        </w:rPr>
      </w:pPr>
    </w:p>
    <w:p w14:paraId="3C935763" w14:textId="6429B648" w:rsidR="00080405" w:rsidRDefault="00F92A53" w:rsidP="00F92A53">
      <w:pPr>
        <w:jc w:val="both"/>
        <w:rPr>
          <w:rFonts w:ascii="Garamond" w:hAnsi="Garamond" w:cstheme="minorBidi"/>
          <w:b/>
          <w:sz w:val="24"/>
          <w:szCs w:val="24"/>
          <w:u w:val="single"/>
        </w:rPr>
      </w:pPr>
      <w:r w:rsidRPr="00F92A53">
        <w:rPr>
          <w:rFonts w:ascii="Garamond" w:hAnsi="Garamond" w:cstheme="minorBidi"/>
          <w:b/>
          <w:sz w:val="24"/>
          <w:szCs w:val="24"/>
          <w:u w:val="single"/>
        </w:rPr>
        <w:t>Desarrollo de Ecosistemas Científicos:</w:t>
      </w:r>
    </w:p>
    <w:p w14:paraId="2F42D8A0" w14:textId="77777777" w:rsidR="00080405" w:rsidRPr="00F92A53" w:rsidRDefault="00080405" w:rsidP="00F92A53">
      <w:pPr>
        <w:jc w:val="both"/>
        <w:rPr>
          <w:rFonts w:ascii="Garamond" w:hAnsi="Garamond" w:cstheme="minorBidi"/>
          <w:b/>
          <w:sz w:val="24"/>
          <w:szCs w:val="24"/>
          <w:u w:val="single"/>
        </w:rPr>
      </w:pPr>
    </w:p>
    <w:p w14:paraId="3EED2257" w14:textId="0843C18A" w:rsidR="00F92A53" w:rsidRPr="00080405" w:rsidRDefault="00F92A53" w:rsidP="0055486F">
      <w:pPr>
        <w:numPr>
          <w:ilvl w:val="0"/>
          <w:numId w:val="32"/>
        </w:numPr>
        <w:jc w:val="both"/>
        <w:rPr>
          <w:rFonts w:ascii="Garamond" w:hAnsi="Garamond" w:cstheme="minorBidi"/>
          <w:sz w:val="24"/>
          <w:szCs w:val="24"/>
        </w:rPr>
      </w:pPr>
      <w:r w:rsidRPr="00080405">
        <w:rPr>
          <w:rFonts w:ascii="Garamond" w:hAnsi="Garamond" w:cstheme="minorBidi"/>
          <w:sz w:val="24"/>
          <w:szCs w:val="24"/>
        </w:rPr>
        <w:lastRenderedPageBreak/>
        <w:t>Diseño y puesta en marcha de Ecosistemas de CTeI para el fomento de la investigación y la innovación en las instituciones.</w:t>
      </w:r>
    </w:p>
    <w:p w14:paraId="2A649168" w14:textId="77777777" w:rsidR="00080405" w:rsidRPr="00F92A53" w:rsidRDefault="00080405" w:rsidP="00080405">
      <w:pPr>
        <w:ind w:left="720"/>
        <w:jc w:val="both"/>
        <w:rPr>
          <w:rFonts w:ascii="Garamond" w:hAnsi="Garamond" w:cstheme="minorBidi"/>
          <w:b/>
          <w:sz w:val="24"/>
          <w:szCs w:val="24"/>
        </w:rPr>
      </w:pPr>
    </w:p>
    <w:p w14:paraId="2A4B3128" w14:textId="3F5BF586" w:rsidR="00F92A53" w:rsidRPr="00D6026F" w:rsidRDefault="00F92A53" w:rsidP="00F92A53">
      <w:pPr>
        <w:jc w:val="both"/>
        <w:rPr>
          <w:rFonts w:ascii="Garamond" w:hAnsi="Garamond" w:cstheme="minorBidi"/>
          <w:sz w:val="24"/>
          <w:szCs w:val="24"/>
        </w:rPr>
      </w:pPr>
      <w:r w:rsidRPr="00D6026F">
        <w:rPr>
          <w:rFonts w:ascii="Garamond" w:hAnsi="Garamond" w:cstheme="minorBidi"/>
          <w:sz w:val="24"/>
          <w:szCs w:val="24"/>
        </w:rPr>
        <w:t xml:space="preserve">Finalmente, es importante precisar que atendiendo a las necesidades propias para el desarrollo de las actividades y acciones contenidas en los planes de inversión de las instituciones, los desembolsos realizados por Atenea se ejecutarán en función de los cronogramas contemplados por las estas, es así como, los recursos destinados a la </w:t>
      </w:r>
      <w:r w:rsidR="00D6026F" w:rsidRPr="00D6026F">
        <w:rPr>
          <w:rFonts w:ascii="Garamond" w:hAnsi="Garamond" w:cstheme="minorBidi"/>
          <w:sz w:val="24"/>
          <w:szCs w:val="24"/>
        </w:rPr>
        <w:t>Sublínea</w:t>
      </w:r>
      <w:r w:rsidRPr="00D6026F">
        <w:rPr>
          <w:rFonts w:ascii="Garamond" w:hAnsi="Garamond" w:cstheme="minorBidi"/>
          <w:sz w:val="24"/>
          <w:szCs w:val="24"/>
        </w:rPr>
        <w:t xml:space="preserve"> de “Bienestar estudiantil integral” se desembolsarán de acuerdo con los períodos de formación del programa académico al tratarse de actividades de intervención directa sobre los beneficiarios del programa. Por su parte, los recursos destinados a las demás sub líneas se desembolsarán para permitir el flujo de caja necesario en las instituciones de cara a la ejecución planeada de las acciones y actividades contenidas en dichas sub líneas.</w:t>
      </w:r>
    </w:p>
    <w:p w14:paraId="21A9A54C" w14:textId="77777777" w:rsidR="00F92A53" w:rsidRPr="00D6026F" w:rsidRDefault="00F92A53" w:rsidP="00F92A53">
      <w:pPr>
        <w:jc w:val="both"/>
        <w:rPr>
          <w:rFonts w:ascii="Garamond" w:hAnsi="Garamond" w:cstheme="minorBidi"/>
          <w:sz w:val="24"/>
          <w:szCs w:val="24"/>
        </w:rPr>
      </w:pPr>
      <w:r w:rsidRPr="00D6026F">
        <w:rPr>
          <w:rFonts w:ascii="Garamond" w:hAnsi="Garamond" w:cstheme="minorBidi"/>
          <w:sz w:val="24"/>
          <w:szCs w:val="24"/>
        </w:rPr>
        <w:t xml:space="preserve">El valor de referencia y la implementación de la línea no representa la ampliación de cobertura en las IES oficiales, la cual corresponde a una función propia del Gobierno Nacional a través de las políticas que adelante con el Ministerio de Educación Nacional. </w:t>
      </w:r>
    </w:p>
    <w:p w14:paraId="04371F51" w14:textId="77777777" w:rsidR="00F92A53" w:rsidRPr="00F92A53" w:rsidRDefault="00F92A53" w:rsidP="00F92A53">
      <w:pPr>
        <w:jc w:val="both"/>
        <w:rPr>
          <w:rFonts w:ascii="Garamond" w:hAnsi="Garamond" w:cstheme="minorBidi"/>
          <w:b/>
          <w:sz w:val="24"/>
          <w:szCs w:val="24"/>
        </w:rPr>
      </w:pPr>
    </w:p>
    <w:p w14:paraId="51B91D92" w14:textId="2A02A4A3" w:rsidR="00F92A53" w:rsidRPr="00D6026F" w:rsidRDefault="00DB336C" w:rsidP="0055486F">
      <w:pPr>
        <w:pStyle w:val="Prrafodelista"/>
        <w:numPr>
          <w:ilvl w:val="3"/>
          <w:numId w:val="40"/>
        </w:numPr>
        <w:jc w:val="both"/>
        <w:rPr>
          <w:rFonts w:ascii="Garamond" w:hAnsi="Garamond"/>
          <w:b/>
          <w:sz w:val="24"/>
          <w:szCs w:val="24"/>
        </w:rPr>
      </w:pPr>
      <w:r w:rsidRPr="00D6026F">
        <w:rPr>
          <w:rFonts w:ascii="Garamond" w:hAnsi="Garamond"/>
          <w:b/>
          <w:sz w:val="24"/>
          <w:szCs w:val="24"/>
        </w:rPr>
        <w:t xml:space="preserve">Capítulo De Educación Y Formación Para El Trabajo </w:t>
      </w:r>
    </w:p>
    <w:p w14:paraId="1A1CB2E4" w14:textId="6F7E90B2" w:rsidR="00F92A53" w:rsidRDefault="00F92A53" w:rsidP="00F92A53">
      <w:pPr>
        <w:jc w:val="both"/>
        <w:rPr>
          <w:rFonts w:ascii="Garamond" w:hAnsi="Garamond" w:cstheme="minorBidi"/>
          <w:sz w:val="24"/>
          <w:szCs w:val="24"/>
        </w:rPr>
      </w:pPr>
      <w:r w:rsidRPr="004A77B3">
        <w:rPr>
          <w:rFonts w:ascii="Garamond" w:hAnsi="Garamond" w:cstheme="minorBidi"/>
          <w:sz w:val="24"/>
          <w:szCs w:val="24"/>
          <w:lang w:val="es-ES"/>
        </w:rPr>
        <w:t>La ETDH, regulada por la Ley 1064 de 2006, tiene como objeto complementar, actualizar, suplir conocimientos, y formar en aspectos académicos o laborales. Se enfoca en capacitar para el desempeño artesanal, artístico, recreacional, ocupacional y técnico (Ley 115 de 1994, Art. 37</w:t>
      </w:r>
      <w:r w:rsidRPr="004A77B3">
        <w:rPr>
          <w:rFonts w:ascii="Garamond" w:hAnsi="Garamond" w:cstheme="minorBidi"/>
          <w:sz w:val="24"/>
          <w:szCs w:val="24"/>
          <w:lang w:val="es"/>
        </w:rPr>
        <w:t>)</w:t>
      </w:r>
      <w:r w:rsidRPr="004A77B3">
        <w:rPr>
          <w:rFonts w:ascii="Garamond" w:hAnsi="Garamond" w:cstheme="minorBidi"/>
          <w:sz w:val="24"/>
          <w:szCs w:val="24"/>
          <w:lang w:val="es-ES"/>
        </w:rPr>
        <w:t xml:space="preserve">, sin que esto conduzca a la obtención de un título o diploma, sino a la obtención de certificados de aptitud profesional y ocupacional. </w:t>
      </w:r>
      <w:r w:rsidRPr="004A77B3">
        <w:rPr>
          <w:rFonts w:ascii="Garamond" w:hAnsi="Garamond" w:cstheme="minorBidi"/>
          <w:sz w:val="24"/>
          <w:szCs w:val="24"/>
        </w:rPr>
        <w:t xml:space="preserve"> </w:t>
      </w:r>
    </w:p>
    <w:p w14:paraId="163E3A66" w14:textId="77777777" w:rsidR="004A77B3" w:rsidRPr="004A77B3" w:rsidRDefault="004A77B3" w:rsidP="00F92A53">
      <w:pPr>
        <w:jc w:val="both"/>
        <w:rPr>
          <w:rFonts w:ascii="Garamond" w:hAnsi="Garamond" w:cstheme="minorBidi"/>
          <w:sz w:val="24"/>
          <w:szCs w:val="24"/>
        </w:rPr>
      </w:pPr>
    </w:p>
    <w:p w14:paraId="5A078F0C" w14:textId="08742963" w:rsidR="00F92A53" w:rsidRDefault="00F92A53" w:rsidP="00F92A53">
      <w:pPr>
        <w:jc w:val="both"/>
        <w:rPr>
          <w:rFonts w:ascii="Garamond" w:hAnsi="Garamond" w:cstheme="minorBidi"/>
          <w:sz w:val="24"/>
          <w:szCs w:val="24"/>
          <w:lang w:val="es-ES"/>
        </w:rPr>
      </w:pPr>
      <w:r w:rsidRPr="004A77B3">
        <w:rPr>
          <w:rFonts w:ascii="Garamond" w:hAnsi="Garamond" w:cstheme="minorBidi"/>
          <w:sz w:val="24"/>
          <w:szCs w:val="24"/>
          <w:lang w:val="es-ES"/>
        </w:rPr>
        <w:t>Además, la ETDH abarca una amplia gama de programas vocacionales, desde aquellos dirigidos a recién graduados de media hasta opciones de educación continua para quienes ya han comenzado su carrera laboral. Los programas de ETDH están diseñados para fomentar y fortalecer el desarrollo de competencias, tanto para ocupaciones específicas, asegurando que los estudiantes estén bien equipados para adaptarse a las diversas demandas del mercado laboral.</w:t>
      </w:r>
    </w:p>
    <w:p w14:paraId="6B646EF6" w14:textId="77777777" w:rsidR="004A77B3" w:rsidRPr="004A77B3" w:rsidRDefault="004A77B3" w:rsidP="00F92A53">
      <w:pPr>
        <w:jc w:val="both"/>
        <w:rPr>
          <w:rFonts w:ascii="Garamond" w:hAnsi="Garamond" w:cstheme="minorBidi"/>
          <w:sz w:val="24"/>
          <w:szCs w:val="24"/>
        </w:rPr>
      </w:pPr>
    </w:p>
    <w:p w14:paraId="6F079E5E" w14:textId="1208F078" w:rsidR="00F92A53" w:rsidRDefault="00F92A53" w:rsidP="00F92A53">
      <w:pPr>
        <w:jc w:val="both"/>
        <w:rPr>
          <w:rFonts w:ascii="Garamond" w:hAnsi="Garamond" w:cstheme="minorBidi"/>
          <w:sz w:val="24"/>
          <w:szCs w:val="24"/>
          <w:lang w:val="es"/>
        </w:rPr>
      </w:pPr>
      <w:r w:rsidRPr="004A77B3">
        <w:rPr>
          <w:rFonts w:ascii="Garamond" w:hAnsi="Garamond" w:cstheme="minorBidi"/>
          <w:sz w:val="24"/>
          <w:szCs w:val="24"/>
          <w:lang w:val="es-ES"/>
        </w:rPr>
        <w:t xml:space="preserve">Los programas de ETDH tienen una duración entre 160 horas y 1800. </w:t>
      </w:r>
      <w:r w:rsidRPr="004A77B3">
        <w:rPr>
          <w:rFonts w:ascii="Garamond" w:hAnsi="Garamond" w:cstheme="minorBidi"/>
          <w:sz w:val="24"/>
          <w:szCs w:val="24"/>
          <w:lang w:val="es-MX"/>
        </w:rPr>
        <w:t>Dentro de estos, los programas con una duración mayor a 160 y hasta 600 horas, corresponden a los de formación académica y otorgan certificados de conocimientos académicos. Por otro lado, los programas que superan las 600 horas y van hasta las 1800, corresponden a formación laboral, a través de la cual se obtiene un certificado de técnico laboral por competencias</w:t>
      </w:r>
      <w:r w:rsidRPr="004A77B3">
        <w:rPr>
          <w:rFonts w:ascii="Garamond" w:hAnsi="Garamond" w:cstheme="minorBidi"/>
          <w:sz w:val="24"/>
          <w:szCs w:val="24"/>
          <w:vertAlign w:val="superscript"/>
          <w:lang w:val="es-MX"/>
        </w:rPr>
        <w:t>1</w:t>
      </w:r>
      <w:r w:rsidRPr="004A77B3">
        <w:rPr>
          <w:rFonts w:ascii="Garamond" w:hAnsi="Garamond" w:cstheme="minorBidi"/>
          <w:sz w:val="24"/>
          <w:szCs w:val="24"/>
          <w:lang w:val="es-MX"/>
        </w:rPr>
        <w:t>.</w:t>
      </w:r>
      <w:r w:rsidRPr="004A77B3">
        <w:rPr>
          <w:rFonts w:ascii="Garamond" w:hAnsi="Garamond" w:cstheme="minorBidi"/>
          <w:sz w:val="24"/>
          <w:szCs w:val="24"/>
          <w:lang w:val="es-ES"/>
        </w:rPr>
        <w:t xml:space="preserve"> </w:t>
      </w:r>
      <w:r w:rsidRPr="004A77B3">
        <w:rPr>
          <w:rFonts w:ascii="Garamond" w:hAnsi="Garamond" w:cstheme="minorBidi"/>
          <w:sz w:val="24"/>
          <w:szCs w:val="24"/>
          <w:lang w:val="es"/>
        </w:rPr>
        <w:t>Dado que la duración de los programas ofrecidos en ETDH se define en horas, tanto la intensidad horaria semanal como la duración semestral de los mismos dependerán de la definición establecida por la institución que los ofrece.</w:t>
      </w:r>
    </w:p>
    <w:p w14:paraId="7BFDE4D6" w14:textId="77777777" w:rsidR="004A77B3" w:rsidRPr="004A77B3" w:rsidRDefault="004A77B3" w:rsidP="00F92A53">
      <w:pPr>
        <w:jc w:val="both"/>
        <w:rPr>
          <w:rFonts w:ascii="Garamond" w:hAnsi="Garamond" w:cstheme="minorBidi"/>
          <w:sz w:val="24"/>
          <w:szCs w:val="24"/>
        </w:rPr>
      </w:pPr>
    </w:p>
    <w:p w14:paraId="12536247" w14:textId="1B3CE8B6" w:rsidR="00F92A53" w:rsidRDefault="00F92A53" w:rsidP="00F92A53">
      <w:pPr>
        <w:jc w:val="both"/>
        <w:rPr>
          <w:rFonts w:ascii="Garamond" w:hAnsi="Garamond" w:cstheme="minorBidi"/>
          <w:sz w:val="24"/>
          <w:szCs w:val="24"/>
          <w:lang w:val="es-ES"/>
        </w:rPr>
      </w:pPr>
      <w:r w:rsidRPr="004A77B3">
        <w:rPr>
          <w:rFonts w:ascii="Garamond" w:hAnsi="Garamond" w:cstheme="minorBidi"/>
          <w:sz w:val="24"/>
          <w:szCs w:val="24"/>
          <w:lang w:val="es-ES"/>
        </w:rPr>
        <w:lastRenderedPageBreak/>
        <w:t xml:space="preserve">Los programas de ETDH se estructuran en currículos flexibles, sin sujeción al sistema de niveles y grados propios de la educación formal, y promueven la formación práctica para el desarrollo de competencias laborales específicas. Además, incluyen un componente académico, y otro práctico en ambiente real o simulado entre el 50 % y el 60 % de las horas totales del programa. </w:t>
      </w:r>
    </w:p>
    <w:p w14:paraId="0AB84C03" w14:textId="77777777" w:rsidR="004A77B3" w:rsidRPr="004A77B3" w:rsidRDefault="004A77B3" w:rsidP="00F92A53">
      <w:pPr>
        <w:jc w:val="both"/>
        <w:rPr>
          <w:rFonts w:ascii="Garamond" w:hAnsi="Garamond" w:cstheme="minorBidi"/>
          <w:sz w:val="24"/>
          <w:szCs w:val="24"/>
        </w:rPr>
      </w:pPr>
    </w:p>
    <w:p w14:paraId="23EE0773" w14:textId="064F0B55" w:rsidR="00F92A53" w:rsidRDefault="00F92A53" w:rsidP="00F92A53">
      <w:pPr>
        <w:jc w:val="both"/>
        <w:rPr>
          <w:rFonts w:ascii="Garamond" w:hAnsi="Garamond" w:cstheme="minorBidi"/>
          <w:sz w:val="24"/>
          <w:szCs w:val="24"/>
          <w:lang w:val="es-MX"/>
        </w:rPr>
      </w:pPr>
      <w:r w:rsidRPr="004A77B3">
        <w:rPr>
          <w:rFonts w:ascii="Garamond" w:hAnsi="Garamond" w:cstheme="minorBidi"/>
          <w:sz w:val="24"/>
          <w:szCs w:val="24"/>
          <w:lang w:val="es-MX"/>
        </w:rPr>
        <w:t xml:space="preserve">Por su parte, el diseño curricular de los programas de ETDH de formación laboral organiza el aprendizaje en módulos específicos que integran el saber, el hacer y el ser. Este enfoque no solo prepara a los estudiantes para la vida laboral, sino que también los forma desde el principio en la integración de conocimientos prácticos y habilidades personales. Está orientado a facilitar el aprendizaje, con un enfoque centrado en los estudiantes. La evaluación en este enfoque se planifica para medir el desempeño de los estudiantes en un escenario productivo, basándose en evidencias concretas y resultados de aprendizaje. </w:t>
      </w:r>
    </w:p>
    <w:p w14:paraId="21727ABF" w14:textId="77777777" w:rsidR="004A77B3" w:rsidRPr="004A77B3" w:rsidRDefault="004A77B3" w:rsidP="00F92A53">
      <w:pPr>
        <w:jc w:val="both"/>
        <w:rPr>
          <w:rFonts w:ascii="Garamond" w:hAnsi="Garamond" w:cstheme="minorBidi"/>
          <w:sz w:val="24"/>
          <w:szCs w:val="24"/>
        </w:rPr>
      </w:pPr>
    </w:p>
    <w:p w14:paraId="7DA08F74" w14:textId="2D8F9A5A" w:rsidR="00F92A53" w:rsidRDefault="00F92A53" w:rsidP="00F92A53">
      <w:pPr>
        <w:jc w:val="both"/>
        <w:rPr>
          <w:rFonts w:ascii="Garamond" w:hAnsi="Garamond" w:cstheme="minorBidi"/>
          <w:sz w:val="24"/>
          <w:szCs w:val="24"/>
          <w:lang w:val="es-ES"/>
        </w:rPr>
      </w:pPr>
      <w:r w:rsidRPr="004A77B3">
        <w:rPr>
          <w:rFonts w:ascii="Garamond" w:hAnsi="Garamond" w:cstheme="minorBidi"/>
          <w:sz w:val="24"/>
          <w:szCs w:val="24"/>
          <w:lang w:val="es-ES"/>
        </w:rPr>
        <w:t>A partir de lo anterior, es posible observar que los diseños curriculares de los programas tanto académicos como laborales de ETDH están orientados a enfrentar y adaptarse a los desafíos del entorno laboral actual, donde se espera que los trabajadores puedan prever y resolver problemas, proponer mejoras, tomar decisiones y participar en la planificación y control de sus actividades. Además, estos deben adecuarse a las características de la población objetivo, como jóvenes, adultos o personas en situación de vulnerabilidad, asegurando que se aborden y compensen las carencias en competencias y respondiendo a las necesidades educativas específicas de cada grupo (MEN, 2008).</w:t>
      </w:r>
    </w:p>
    <w:p w14:paraId="79212A8F" w14:textId="77777777" w:rsidR="00B5178E" w:rsidRPr="004A77B3" w:rsidRDefault="00B5178E" w:rsidP="00F92A53">
      <w:pPr>
        <w:jc w:val="both"/>
        <w:rPr>
          <w:rFonts w:ascii="Garamond" w:hAnsi="Garamond" w:cstheme="minorBidi"/>
          <w:sz w:val="24"/>
          <w:szCs w:val="24"/>
        </w:rPr>
      </w:pPr>
    </w:p>
    <w:p w14:paraId="13AC5CB0" w14:textId="59714FA2" w:rsidR="00F92A53" w:rsidRPr="00FC6C84" w:rsidRDefault="00F92A53" w:rsidP="0055486F">
      <w:pPr>
        <w:pStyle w:val="Prrafodelista"/>
        <w:numPr>
          <w:ilvl w:val="4"/>
          <w:numId w:val="40"/>
        </w:numPr>
        <w:jc w:val="both"/>
        <w:rPr>
          <w:rFonts w:ascii="Garamond" w:hAnsi="Garamond"/>
          <w:b/>
          <w:iCs/>
          <w:sz w:val="24"/>
          <w:szCs w:val="24"/>
          <w:lang w:val="es-ES"/>
        </w:rPr>
      </w:pPr>
      <w:r w:rsidRPr="00FC6C84">
        <w:rPr>
          <w:rFonts w:ascii="Garamond" w:hAnsi="Garamond"/>
          <w:b/>
          <w:iCs/>
          <w:sz w:val="24"/>
          <w:szCs w:val="24"/>
          <w:lang w:val="es-ES"/>
        </w:rPr>
        <w:t>Subsistema de Formación para el Trabajo</w:t>
      </w:r>
    </w:p>
    <w:p w14:paraId="141733FD" w14:textId="0EF11059" w:rsidR="00CD73AD" w:rsidRDefault="00F92A53" w:rsidP="00F92A53">
      <w:pPr>
        <w:jc w:val="both"/>
        <w:rPr>
          <w:rFonts w:ascii="Garamond" w:hAnsi="Garamond" w:cstheme="minorBidi"/>
          <w:sz w:val="24"/>
          <w:szCs w:val="24"/>
          <w:lang w:val="es-ES"/>
        </w:rPr>
      </w:pPr>
      <w:r w:rsidRPr="004A77B3">
        <w:rPr>
          <w:rFonts w:ascii="Garamond" w:hAnsi="Garamond" w:cstheme="minorBidi"/>
          <w:sz w:val="24"/>
          <w:szCs w:val="24"/>
          <w:lang w:val="es-ES"/>
        </w:rPr>
        <w:t xml:space="preserve">El Decreto 1650 de 2021 establece que la Formación para el Trabajo tiene como objetivo cualificar a las personas con pertinencia, calidad y oportunidad. Los programas de Formación para el Trabajo están diseñados siguiendo los catálogos sectoriales de cualificaciones y los lineamientos del Sistema Nacional de Cualificaciones (SNC), y se ajustan a los niveles del Marco Nacional de Cualificaciones (MNC), este </w:t>
      </w:r>
      <w:r w:rsidRPr="004A77B3">
        <w:rPr>
          <w:rFonts w:ascii="Garamond" w:hAnsi="Garamond" w:cstheme="minorBidi"/>
          <w:sz w:val="24"/>
          <w:szCs w:val="24"/>
        </w:rPr>
        <w:t>marco define como el instrumento que estructura y clasifica las cualificaciones en un esquema de ocho niveles, expresados en términos de conocimientos, destrezas y actitudes, aplicables tanto en contextos de estudio como de trabajo, de acuerdo con la secuencialidad y</w:t>
      </w:r>
      <w:r w:rsidRPr="004A77B3">
        <w:rPr>
          <w:rFonts w:ascii="Garamond" w:hAnsi="Garamond" w:cstheme="minorBidi"/>
          <w:sz w:val="24"/>
          <w:szCs w:val="24"/>
          <w:lang w:val="es-ES"/>
        </w:rPr>
        <w:t xml:space="preserve"> </w:t>
      </w:r>
      <w:r w:rsidRPr="004A77B3">
        <w:rPr>
          <w:rFonts w:ascii="Garamond" w:hAnsi="Garamond" w:cstheme="minorBidi"/>
          <w:sz w:val="24"/>
          <w:szCs w:val="24"/>
        </w:rPr>
        <w:t>complejidad de los aprendizajes alcanzados (MEN, 2024).</w:t>
      </w:r>
      <w:r w:rsidRPr="004A77B3">
        <w:rPr>
          <w:rFonts w:ascii="Garamond" w:hAnsi="Garamond" w:cstheme="minorBidi"/>
          <w:sz w:val="24"/>
          <w:szCs w:val="24"/>
          <w:lang w:val="es-ES"/>
        </w:rPr>
        <w:t> </w:t>
      </w:r>
    </w:p>
    <w:p w14:paraId="656EF91A" w14:textId="77777777" w:rsidR="00CD73AD" w:rsidRDefault="00CD73AD" w:rsidP="00F92A53">
      <w:pPr>
        <w:jc w:val="both"/>
        <w:rPr>
          <w:rFonts w:ascii="Garamond" w:hAnsi="Garamond" w:cstheme="minorBidi"/>
          <w:sz w:val="24"/>
          <w:szCs w:val="24"/>
          <w:lang w:val="es-ES"/>
        </w:rPr>
      </w:pPr>
    </w:p>
    <w:p w14:paraId="566C960A" w14:textId="5F47ED7F" w:rsidR="00F92A53" w:rsidRDefault="00F92A53" w:rsidP="00F92A53">
      <w:pPr>
        <w:jc w:val="both"/>
        <w:rPr>
          <w:rFonts w:ascii="Garamond" w:hAnsi="Garamond" w:cstheme="minorBidi"/>
          <w:sz w:val="24"/>
          <w:szCs w:val="24"/>
          <w:lang w:val="es-ES"/>
        </w:rPr>
      </w:pPr>
      <w:r w:rsidRPr="004A77B3">
        <w:rPr>
          <w:rFonts w:ascii="Garamond" w:hAnsi="Garamond" w:cstheme="minorBidi"/>
          <w:sz w:val="24"/>
          <w:szCs w:val="24"/>
          <w:lang w:val="es-ES"/>
        </w:rPr>
        <w:t xml:space="preserve">Estos programas incluyen formación teórica y práctica, con modalidades combinadas (dual) que integran la teoría con la práctica en un contexto productivo real. Se ofrecen en modalidades presencial, virtual y mixta, para facilitar el acceso a la formación. Al finalizar, los participantes reciben un certificado en la cualificación cursada, con el fin de mejorar sus oportunidades de empleo y desarrollo profesional y de mejorar la competitividad empresarial, la productividad laboral y la pertinencia de la </w:t>
      </w:r>
      <w:r w:rsidRPr="004A77B3">
        <w:rPr>
          <w:rFonts w:ascii="Garamond" w:hAnsi="Garamond" w:cstheme="minorBidi"/>
          <w:sz w:val="24"/>
          <w:szCs w:val="24"/>
          <w:lang w:val="es-ES"/>
        </w:rPr>
        <w:lastRenderedPageBreak/>
        <w:t xml:space="preserve">oferta educativa y formativa, contribuyendo al bienestar de los trabajadores y al desarrollo económico del país.  </w:t>
      </w:r>
    </w:p>
    <w:p w14:paraId="089C15D4" w14:textId="77777777" w:rsidR="007C4794" w:rsidRPr="004A77B3" w:rsidRDefault="007C4794" w:rsidP="00F92A53">
      <w:pPr>
        <w:jc w:val="both"/>
        <w:rPr>
          <w:rFonts w:ascii="Garamond" w:hAnsi="Garamond" w:cstheme="minorBidi"/>
          <w:sz w:val="24"/>
          <w:szCs w:val="24"/>
          <w:lang w:val="es-ES"/>
        </w:rPr>
      </w:pPr>
    </w:p>
    <w:p w14:paraId="1EC4F020" w14:textId="6209A5AF" w:rsidR="00F92A53" w:rsidRDefault="00F92A53" w:rsidP="00F92A53">
      <w:pPr>
        <w:jc w:val="both"/>
        <w:rPr>
          <w:rFonts w:ascii="Garamond" w:hAnsi="Garamond" w:cstheme="minorBidi"/>
          <w:sz w:val="24"/>
          <w:szCs w:val="24"/>
        </w:rPr>
      </w:pPr>
      <w:r w:rsidRPr="004A77B3">
        <w:rPr>
          <w:rFonts w:ascii="Garamond" w:hAnsi="Garamond" w:cstheme="minorBidi"/>
          <w:sz w:val="24"/>
          <w:szCs w:val="24"/>
        </w:rPr>
        <w:t>Ahora bien, la educación y formación con calidad es prioridad y uno de los principales vehículos para el cierre de las brechas sociales para la ciudad de Bogotá, los cuales deben estar alineados con la hoja de ruta de la “Política Pública Distrital de Educación 2022-2038”, formulada a partir del trabajo de la Misión de Educadores y Sabiduría Ciudadana.</w:t>
      </w:r>
    </w:p>
    <w:p w14:paraId="27260DEE" w14:textId="77777777" w:rsidR="007C4794" w:rsidRPr="004A77B3" w:rsidRDefault="007C4794" w:rsidP="00F92A53">
      <w:pPr>
        <w:jc w:val="both"/>
        <w:rPr>
          <w:rFonts w:ascii="Garamond" w:hAnsi="Garamond" w:cstheme="minorBidi"/>
          <w:sz w:val="24"/>
          <w:szCs w:val="24"/>
        </w:rPr>
      </w:pPr>
    </w:p>
    <w:p w14:paraId="043CC416" w14:textId="5DC04EB7" w:rsidR="00F92A53" w:rsidRDefault="00F92A53" w:rsidP="00F92A53">
      <w:pPr>
        <w:jc w:val="both"/>
        <w:rPr>
          <w:rFonts w:ascii="Garamond" w:hAnsi="Garamond" w:cstheme="minorBidi"/>
          <w:sz w:val="24"/>
          <w:szCs w:val="24"/>
        </w:rPr>
      </w:pPr>
      <w:r w:rsidRPr="004A77B3">
        <w:rPr>
          <w:rFonts w:ascii="Garamond" w:hAnsi="Garamond" w:cstheme="minorBidi"/>
          <w:sz w:val="24"/>
          <w:szCs w:val="24"/>
        </w:rPr>
        <w:t>En ese sentido, este programa se convierte en un esfuerzo aunado de distintos sectores para avanzar en la implementación de un modelo de acceso y permanencia en la educación posmedia, en el que se incluya la educación formal e informal como herramienta para satisfacer las necesidades de desarrollo de las capacidades del talento humano en los diversos sectores productivos del Distrito.</w:t>
      </w:r>
    </w:p>
    <w:p w14:paraId="3598A7DC" w14:textId="77777777" w:rsidR="0064467F" w:rsidRPr="004A77B3" w:rsidRDefault="0064467F" w:rsidP="00F92A53">
      <w:pPr>
        <w:jc w:val="both"/>
        <w:rPr>
          <w:rFonts w:ascii="Garamond" w:hAnsi="Garamond" w:cstheme="minorBidi"/>
          <w:sz w:val="24"/>
          <w:szCs w:val="24"/>
        </w:rPr>
      </w:pPr>
    </w:p>
    <w:p w14:paraId="5F09A394" w14:textId="77777777" w:rsidR="00F13BCA" w:rsidRDefault="00F92A53" w:rsidP="00F92A53">
      <w:pPr>
        <w:jc w:val="both"/>
        <w:rPr>
          <w:rFonts w:ascii="Garamond" w:hAnsi="Garamond" w:cstheme="minorBidi"/>
          <w:sz w:val="24"/>
          <w:szCs w:val="24"/>
        </w:rPr>
      </w:pPr>
      <w:r w:rsidRPr="004A77B3">
        <w:rPr>
          <w:rFonts w:ascii="Garamond" w:hAnsi="Garamond" w:cstheme="minorBidi"/>
          <w:sz w:val="24"/>
          <w:szCs w:val="24"/>
        </w:rPr>
        <w:t xml:space="preserve">En ese contexto es necesario que el sistema de posmedia incluya programas específicos dirigidos a Jóvenes con Potencial, como es el caso del Programa “Jóvenes con Oportunidades”, el cual desarrollado por la Secretaría Distrital de Integración Social (SDIS), en articulación con la Secretaria de Desarrollo Económico, la Secretaría de Educación del Distrito, y la Agencia Atenea, con el fin de brindar apoyo para facilitar su ingreso al sistema educativo y formativo y promover su empleabilidad. Esta apuesta estratégica del Distrito incluye acciones complementarias que se enfocan en la inclusión social y productiva de estos jóvenes, proporcionando espacios adecuados para desarrollar su potencial, que incluye, procesos paralelos de orientación psicosocial e inteligencia emocional, fundamentales para prevenir la deserción educativa y el desempleo. </w:t>
      </w:r>
    </w:p>
    <w:p w14:paraId="3C68DBD1" w14:textId="77777777" w:rsidR="00F13BCA" w:rsidRDefault="00F13BCA" w:rsidP="00F92A53">
      <w:pPr>
        <w:jc w:val="both"/>
        <w:rPr>
          <w:rFonts w:ascii="Garamond" w:hAnsi="Garamond" w:cstheme="minorBidi"/>
          <w:sz w:val="24"/>
          <w:szCs w:val="24"/>
        </w:rPr>
      </w:pPr>
    </w:p>
    <w:p w14:paraId="2A3B25E8" w14:textId="5C1568F8" w:rsidR="00F92A53" w:rsidRDefault="00F92A53" w:rsidP="00F92A53">
      <w:pPr>
        <w:jc w:val="both"/>
        <w:rPr>
          <w:rFonts w:ascii="Garamond" w:hAnsi="Garamond" w:cstheme="minorBidi"/>
          <w:sz w:val="24"/>
          <w:szCs w:val="24"/>
        </w:rPr>
      </w:pPr>
      <w:r w:rsidRPr="004A77B3">
        <w:rPr>
          <w:rFonts w:ascii="Garamond" w:hAnsi="Garamond" w:cstheme="minorBidi"/>
          <w:sz w:val="24"/>
          <w:szCs w:val="24"/>
        </w:rPr>
        <w:t xml:space="preserve">Este Programa igualmente establece la necesidad de implementar acciones que protejan a los jóvenes de los múltiples riesgos a los que están expuestos, como la violencia, el reclutamiento, la vinculación a bandas delictivas, riesgos de salud física y mental, el consumo de sustancias psicoactivas, la maternidad y paternidad tempranas. Estas estrategias integrales son necesarias para promover un entorno seguro y propicio para su desarrollo y bienestar. Así mismo, Jóvenes con Oportunidades también busca </w:t>
      </w:r>
      <w:r w:rsidRPr="004A77B3">
        <w:rPr>
          <w:rFonts w:ascii="Garamond" w:hAnsi="Garamond" w:cstheme="minorBidi"/>
          <w:i/>
          <w:iCs/>
          <w:sz w:val="24"/>
          <w:szCs w:val="24"/>
        </w:rPr>
        <w:t>“(…) garantizar una oferta amplia y de calidad para la formación para el trabajo y formación posmedia, este programa busca ofrecer cursos cortos de formación considerando las demandas de las cadenas productivas, los ecosistemas de innovación y emprendimiento empresarial, tanto locales como regionales, a través de una red de actores compuesta por los sectores público, privado, empresarial y la academia que redunde en la ampliación y reestructuración de la oferta y acceso a la financiación a los programas de educación posmedia, como preámbulo a su vínculo laboral y productivo en la ciudad (…)”</w:t>
      </w:r>
      <w:r w:rsidRPr="004A77B3">
        <w:rPr>
          <w:rFonts w:ascii="Garamond" w:hAnsi="Garamond" w:cstheme="minorBidi"/>
          <w:sz w:val="24"/>
          <w:szCs w:val="24"/>
        </w:rPr>
        <w:t>. Teniendo en cuenta lo anterior, desde la Agencia Atenea se sumarán esfuerzos en función del cumplimiento y ejecución de este programa para los jóvenes del Distrito de Bogotá.</w:t>
      </w:r>
    </w:p>
    <w:p w14:paraId="0314212F" w14:textId="77777777" w:rsidR="00970A76" w:rsidRPr="004A77B3" w:rsidRDefault="00970A76" w:rsidP="00F92A53">
      <w:pPr>
        <w:jc w:val="both"/>
        <w:rPr>
          <w:rFonts w:ascii="Garamond" w:hAnsi="Garamond" w:cstheme="minorBidi"/>
          <w:sz w:val="24"/>
          <w:szCs w:val="24"/>
        </w:rPr>
      </w:pPr>
    </w:p>
    <w:p w14:paraId="3A2A0BAD" w14:textId="2D18975A" w:rsidR="00F92A53" w:rsidRDefault="00F92A53" w:rsidP="00F92A53">
      <w:pPr>
        <w:jc w:val="both"/>
        <w:rPr>
          <w:rFonts w:ascii="Garamond" w:hAnsi="Garamond" w:cstheme="minorBidi"/>
          <w:sz w:val="24"/>
          <w:szCs w:val="24"/>
        </w:rPr>
      </w:pPr>
      <w:r w:rsidRPr="004A77B3">
        <w:rPr>
          <w:rFonts w:ascii="Garamond" w:hAnsi="Garamond" w:cstheme="minorBidi"/>
          <w:sz w:val="24"/>
          <w:szCs w:val="24"/>
        </w:rPr>
        <w:t xml:space="preserve">Es importante resaltar que, entre las principales apuestas a desarrollar, se proyecta transitar de una concepción en la que el centro son los conocimientos a otra en la que el núcleo es el desarrollo integral </w:t>
      </w:r>
      <w:r w:rsidRPr="004A77B3">
        <w:rPr>
          <w:rFonts w:ascii="Garamond" w:hAnsi="Garamond" w:cstheme="minorBidi"/>
          <w:sz w:val="24"/>
          <w:szCs w:val="24"/>
        </w:rPr>
        <w:lastRenderedPageBreak/>
        <w:t>de las personas como seres humanos, y así las habilidades socioemocionales se fortalecerán, en línea con la generación de estrategias integrales que complementen las trayectorias educativas completas para la equidad, donde se ampliará la cobertura de la Media Técnica y se diversificará su oferta mediante alianzas con el sector productivo, las Instituciones de Educación Superior y las de Educación para el Trabajo y el Desarrollo Humano (ETDH), así como, los demás actores del mercado que aportan en estos procesos de formación y conexión con el sector real. Para este efecto, el Distrito debe establecer mecanismos alternativos de financiamiento dirigidos principalmente a jóvenes, así como, población adulta del Distrito, que avanzan directamente desde la educación media, por lo que, desde la Agencia Atenea, desde sus esfuerzos propios y la implementación de su misionalidad, aportará en el cumplimiento de dichos objetivos para la ciudad de Bogotá.</w:t>
      </w:r>
    </w:p>
    <w:p w14:paraId="237312F7" w14:textId="77777777" w:rsidR="00970A76" w:rsidRPr="004A77B3" w:rsidRDefault="00970A76" w:rsidP="00F92A53">
      <w:pPr>
        <w:jc w:val="both"/>
        <w:rPr>
          <w:rFonts w:ascii="Garamond" w:hAnsi="Garamond" w:cstheme="minorBidi"/>
          <w:sz w:val="24"/>
          <w:szCs w:val="24"/>
        </w:rPr>
      </w:pPr>
    </w:p>
    <w:p w14:paraId="7A0EAFE1" w14:textId="3FB10B55" w:rsidR="00F92A53" w:rsidRDefault="00F92A53" w:rsidP="00F92A53">
      <w:pPr>
        <w:jc w:val="both"/>
        <w:rPr>
          <w:rFonts w:ascii="Garamond" w:hAnsi="Garamond" w:cstheme="minorBidi"/>
          <w:sz w:val="24"/>
          <w:szCs w:val="24"/>
          <w:lang w:val="es-ES"/>
        </w:rPr>
      </w:pPr>
      <w:r w:rsidRPr="004A77B3">
        <w:rPr>
          <w:rFonts w:ascii="Garamond" w:hAnsi="Garamond" w:cstheme="minorBidi"/>
          <w:sz w:val="24"/>
          <w:szCs w:val="24"/>
          <w:lang w:val="es-ES"/>
        </w:rPr>
        <w:t>Para el capítulo de educación y formación para el trabajo, Atenea habilita los siguientes tipos de convocatoria:</w:t>
      </w:r>
    </w:p>
    <w:p w14:paraId="060CA468" w14:textId="77777777" w:rsidR="00970A76" w:rsidRPr="004A77B3" w:rsidRDefault="00970A76" w:rsidP="00F92A53">
      <w:pPr>
        <w:jc w:val="both"/>
        <w:rPr>
          <w:rFonts w:ascii="Garamond" w:hAnsi="Garamond" w:cstheme="minorBidi"/>
          <w:sz w:val="24"/>
          <w:szCs w:val="24"/>
          <w:lang w:val="es-ES"/>
        </w:rPr>
      </w:pPr>
    </w:p>
    <w:p w14:paraId="207E483F" w14:textId="77777777" w:rsidR="00F92A53" w:rsidRPr="004A77B3" w:rsidRDefault="00F92A53" w:rsidP="0055486F">
      <w:pPr>
        <w:numPr>
          <w:ilvl w:val="0"/>
          <w:numId w:val="31"/>
        </w:numPr>
        <w:jc w:val="both"/>
        <w:rPr>
          <w:rFonts w:ascii="Garamond" w:hAnsi="Garamond" w:cstheme="minorBidi"/>
          <w:sz w:val="24"/>
          <w:szCs w:val="24"/>
          <w:lang w:val="es-ES"/>
        </w:rPr>
      </w:pPr>
      <w:r w:rsidRPr="004A77B3">
        <w:rPr>
          <w:rFonts w:ascii="Garamond" w:hAnsi="Garamond" w:cstheme="minorBidi"/>
          <w:bCs/>
          <w:sz w:val="24"/>
          <w:szCs w:val="24"/>
          <w:lang w:val="es-ES"/>
        </w:rPr>
        <w:t>Convocatoria abierta:</w:t>
      </w:r>
      <w:r w:rsidRPr="004A77B3">
        <w:rPr>
          <w:rFonts w:ascii="Garamond" w:hAnsi="Garamond" w:cstheme="minorBidi"/>
          <w:sz w:val="24"/>
          <w:szCs w:val="24"/>
          <w:lang w:val="es-ES"/>
        </w:rPr>
        <w:t xml:space="preserve"> la inscripción, la selección y la habilitación de las y los jóvenes se realiza mediante la convocatoria que adelante exclusivamente la Agencia Atenea, entidad que determina los criterios mínimos de participación y de selección de los elegibles.</w:t>
      </w:r>
    </w:p>
    <w:p w14:paraId="27A655F5" w14:textId="77777777" w:rsidR="00F92A53" w:rsidRPr="004A77B3" w:rsidRDefault="00F92A53" w:rsidP="0055486F">
      <w:pPr>
        <w:numPr>
          <w:ilvl w:val="0"/>
          <w:numId w:val="31"/>
        </w:numPr>
        <w:jc w:val="both"/>
        <w:rPr>
          <w:rFonts w:ascii="Garamond" w:hAnsi="Garamond" w:cstheme="minorBidi"/>
          <w:sz w:val="24"/>
          <w:szCs w:val="24"/>
          <w:lang w:val="es-ES"/>
        </w:rPr>
      </w:pPr>
      <w:r w:rsidRPr="004A77B3">
        <w:rPr>
          <w:rFonts w:ascii="Garamond" w:hAnsi="Garamond" w:cstheme="minorBidi"/>
          <w:bCs/>
          <w:sz w:val="24"/>
          <w:szCs w:val="24"/>
          <w:lang w:val="es-ES"/>
        </w:rPr>
        <w:t>Convocatoria cerrada:</w:t>
      </w:r>
      <w:r w:rsidRPr="004A77B3">
        <w:rPr>
          <w:rFonts w:ascii="Garamond" w:hAnsi="Garamond" w:cstheme="minorBidi"/>
          <w:sz w:val="24"/>
          <w:szCs w:val="24"/>
          <w:lang w:val="es-ES"/>
        </w:rPr>
        <w:t xml:space="preserve"> la inscripción, la selección y la habilitación de las y los jóvenes se realiza mediante la convocatoria que adelante la Agencia Atenea en articulación con la SDIS en el marco de la Estrategia Intersectorial para la Inclusión Social y Productiva para Jóvenes con Oportunidades. La Agencia determina los criterios mínimos de participación y el mecanismo para la priorización o selección de los elegibles de acuerdo con las consideraciones para la implementación de la Estrategia desde Atenea y de la información remitida por la SDIS. </w:t>
      </w:r>
    </w:p>
    <w:p w14:paraId="333C4CE8" w14:textId="77777777" w:rsidR="00F92A53" w:rsidRPr="004A77B3" w:rsidRDefault="00F92A53" w:rsidP="0055486F">
      <w:pPr>
        <w:numPr>
          <w:ilvl w:val="0"/>
          <w:numId w:val="31"/>
        </w:numPr>
        <w:jc w:val="both"/>
        <w:rPr>
          <w:rFonts w:ascii="Garamond" w:hAnsi="Garamond" w:cstheme="minorBidi"/>
          <w:sz w:val="24"/>
          <w:szCs w:val="24"/>
          <w:lang w:val="es-ES"/>
        </w:rPr>
      </w:pPr>
      <w:r w:rsidRPr="004A77B3">
        <w:rPr>
          <w:rFonts w:ascii="Garamond" w:hAnsi="Garamond" w:cstheme="minorBidi"/>
          <w:bCs/>
          <w:sz w:val="24"/>
          <w:szCs w:val="24"/>
          <w:lang w:val="es-ES"/>
        </w:rPr>
        <w:t>Convocatoria mixta:</w:t>
      </w:r>
      <w:r w:rsidRPr="004A77B3">
        <w:rPr>
          <w:rFonts w:ascii="Garamond" w:hAnsi="Garamond" w:cstheme="minorBidi"/>
          <w:sz w:val="24"/>
          <w:szCs w:val="24"/>
          <w:lang w:val="es-ES"/>
        </w:rPr>
        <w:t xml:space="preserve"> consiste en el desarrollo simultáneo de una convocatoria abierta y una cerrada de conformidad con las consideraciones técnicas y operativas para la implementación del programa.</w:t>
      </w:r>
    </w:p>
    <w:p w14:paraId="2B5F1CE6" w14:textId="60E3F558" w:rsidR="00F92A53" w:rsidRPr="00F92A53" w:rsidRDefault="00F92A53" w:rsidP="00F92A53">
      <w:pPr>
        <w:jc w:val="both"/>
        <w:rPr>
          <w:rFonts w:ascii="Garamond" w:hAnsi="Garamond" w:cstheme="minorBidi"/>
          <w:b/>
          <w:sz w:val="24"/>
          <w:szCs w:val="24"/>
        </w:rPr>
      </w:pPr>
    </w:p>
    <w:p w14:paraId="7AE47B5E" w14:textId="37AC5D07" w:rsidR="00F92A53" w:rsidRPr="00C6721E" w:rsidRDefault="00F92A53" w:rsidP="0055486F">
      <w:pPr>
        <w:pStyle w:val="Prrafodelista"/>
        <w:numPr>
          <w:ilvl w:val="3"/>
          <w:numId w:val="40"/>
        </w:numPr>
        <w:jc w:val="both"/>
        <w:rPr>
          <w:rFonts w:ascii="Garamond" w:hAnsi="Garamond"/>
          <w:b/>
          <w:bCs/>
          <w:sz w:val="24"/>
          <w:szCs w:val="24"/>
        </w:rPr>
      </w:pPr>
      <w:r w:rsidRPr="00C6721E">
        <w:rPr>
          <w:rFonts w:ascii="Garamond" w:hAnsi="Garamond"/>
          <w:b/>
          <w:bCs/>
          <w:sz w:val="24"/>
          <w:szCs w:val="24"/>
        </w:rPr>
        <w:t>Financiación del Programa Jóvenes a la E</w:t>
      </w:r>
    </w:p>
    <w:p w14:paraId="2A5DC0DB" w14:textId="3C14931A" w:rsidR="00F92A53" w:rsidRDefault="00F92A53" w:rsidP="00F92A53">
      <w:pPr>
        <w:jc w:val="both"/>
        <w:rPr>
          <w:rFonts w:ascii="Garamond" w:hAnsi="Garamond" w:cstheme="minorBidi"/>
          <w:sz w:val="24"/>
          <w:szCs w:val="24"/>
          <w:lang w:val="es-ES"/>
        </w:rPr>
      </w:pPr>
      <w:r w:rsidRPr="00C6721E">
        <w:rPr>
          <w:rFonts w:ascii="Garamond" w:hAnsi="Garamond" w:cstheme="minorBidi"/>
          <w:sz w:val="24"/>
          <w:szCs w:val="24"/>
          <w:lang w:val="es-ES"/>
        </w:rPr>
        <w:t>Considerando la misionalidad de Atenea de conformidad con el decreto 273 de 2020, para la ejecución y financiación del Programa la Agencia ha celebrado alianzas con diferentes entidades públicas mediante las cuales se han aunado esfuerzos para la implementación de este, en ese sentido, la Agencia ha contado con la financiación de las siguientes entidades:</w:t>
      </w:r>
    </w:p>
    <w:p w14:paraId="7C5C120D" w14:textId="77777777" w:rsidR="00C6721E" w:rsidRPr="00C6721E" w:rsidRDefault="00C6721E" w:rsidP="00F92A53">
      <w:pPr>
        <w:jc w:val="both"/>
        <w:rPr>
          <w:rFonts w:ascii="Garamond" w:hAnsi="Garamond" w:cstheme="minorBidi"/>
          <w:sz w:val="24"/>
          <w:szCs w:val="24"/>
          <w:lang w:val="es-ES"/>
        </w:rPr>
      </w:pPr>
    </w:p>
    <w:p w14:paraId="69BC6733" w14:textId="76EADEA0" w:rsidR="00F92A53" w:rsidRPr="0024035B" w:rsidRDefault="0024035B" w:rsidP="0055486F">
      <w:pPr>
        <w:pStyle w:val="Prrafodelista"/>
        <w:numPr>
          <w:ilvl w:val="4"/>
          <w:numId w:val="40"/>
        </w:numPr>
        <w:jc w:val="both"/>
        <w:rPr>
          <w:rFonts w:ascii="Garamond" w:hAnsi="Garamond"/>
          <w:b/>
          <w:bCs/>
          <w:sz w:val="24"/>
          <w:szCs w:val="24"/>
          <w:lang w:val="es-ES"/>
        </w:rPr>
      </w:pPr>
      <w:r w:rsidRPr="0024035B">
        <w:rPr>
          <w:rFonts w:ascii="Garamond" w:hAnsi="Garamond"/>
          <w:b/>
          <w:bCs/>
          <w:sz w:val="24"/>
          <w:szCs w:val="24"/>
          <w:lang w:val="es-ES"/>
        </w:rPr>
        <w:t xml:space="preserve">Fondos De Desarrollo Local </w:t>
      </w:r>
    </w:p>
    <w:p w14:paraId="7BD000F7" w14:textId="692BF50F" w:rsidR="00F92A53" w:rsidRDefault="00F92A53" w:rsidP="00F92A53">
      <w:pPr>
        <w:jc w:val="both"/>
        <w:rPr>
          <w:rFonts w:ascii="Garamond" w:hAnsi="Garamond" w:cstheme="minorBidi"/>
          <w:b/>
          <w:sz w:val="24"/>
          <w:szCs w:val="24"/>
          <w:lang w:val="es-ES"/>
        </w:rPr>
      </w:pPr>
      <w:r w:rsidRPr="00C3355B">
        <w:rPr>
          <w:rFonts w:ascii="Garamond" w:hAnsi="Garamond" w:cstheme="minorBidi"/>
          <w:sz w:val="24"/>
          <w:szCs w:val="24"/>
          <w:lang w:val="es-ES"/>
        </w:rPr>
        <w:t xml:space="preserve">Teniendo en cuenta que las entidades públicas del orden distrital tienen dentro de su misión y propósito dar cumplimiento a los lineamientos constitucionales y legales en materia de acceso y permanencia en la educación superior en procura de la materialización de lo dispuesto en el Plan de Desarrollo, la </w:t>
      </w:r>
      <w:r w:rsidRPr="00C3355B">
        <w:rPr>
          <w:rFonts w:ascii="Garamond" w:hAnsi="Garamond" w:cstheme="minorBidi"/>
          <w:sz w:val="24"/>
          <w:szCs w:val="24"/>
          <w:lang w:val="es-ES"/>
        </w:rPr>
        <w:lastRenderedPageBreak/>
        <w:t>Agencia Atenea y los Fondos de Desarrollo Local han celebrado convenios que han permitido destinar recursos financieros de estos últimos para la ejecución del programa Jóvenes a la U (ahora Jóvenes a la E) desde su primera convocatoria en el año 2021 y hasta la actualidad. Esta financiación ha permitido disponer de beneficios en programas de educación superior</w:t>
      </w:r>
      <w:r w:rsidRPr="00F92A53">
        <w:rPr>
          <w:rFonts w:ascii="Garamond" w:hAnsi="Garamond" w:cstheme="minorBidi"/>
          <w:b/>
          <w:sz w:val="24"/>
          <w:szCs w:val="24"/>
          <w:lang w:val="es-ES"/>
        </w:rPr>
        <w:t>.</w:t>
      </w:r>
    </w:p>
    <w:p w14:paraId="39A0507D" w14:textId="77777777" w:rsidR="0095236F" w:rsidRPr="00F92A53" w:rsidRDefault="0095236F" w:rsidP="00F92A53">
      <w:pPr>
        <w:jc w:val="both"/>
        <w:rPr>
          <w:rFonts w:ascii="Garamond" w:hAnsi="Garamond" w:cstheme="minorBidi"/>
          <w:b/>
          <w:sz w:val="24"/>
          <w:szCs w:val="24"/>
          <w:lang w:val="es-ES"/>
        </w:rPr>
      </w:pPr>
    </w:p>
    <w:p w14:paraId="75C20414" w14:textId="3309A9EA" w:rsidR="00F92A53" w:rsidRPr="00AF171B" w:rsidRDefault="00AF171B" w:rsidP="0055486F">
      <w:pPr>
        <w:pStyle w:val="Prrafodelista"/>
        <w:numPr>
          <w:ilvl w:val="4"/>
          <w:numId w:val="40"/>
        </w:numPr>
        <w:jc w:val="both"/>
        <w:rPr>
          <w:rFonts w:ascii="Garamond" w:hAnsi="Garamond"/>
          <w:b/>
          <w:bCs/>
          <w:sz w:val="24"/>
          <w:szCs w:val="24"/>
          <w:lang w:val="es-ES"/>
        </w:rPr>
      </w:pPr>
      <w:r w:rsidRPr="00AF171B">
        <w:rPr>
          <w:rFonts w:ascii="Garamond" w:hAnsi="Garamond"/>
          <w:b/>
          <w:bCs/>
          <w:sz w:val="24"/>
          <w:szCs w:val="24"/>
          <w:lang w:val="es-ES"/>
        </w:rPr>
        <w:t xml:space="preserve">Región Metropolitana, Bogotá – Cundinamarca </w:t>
      </w:r>
    </w:p>
    <w:p w14:paraId="2F237950" w14:textId="12ED8DCA" w:rsidR="00F92A53" w:rsidRPr="002D2EB6" w:rsidRDefault="00F92A53" w:rsidP="00F92A53">
      <w:pPr>
        <w:jc w:val="both"/>
        <w:rPr>
          <w:rFonts w:ascii="Garamond" w:hAnsi="Garamond" w:cstheme="minorBidi"/>
          <w:sz w:val="24"/>
          <w:szCs w:val="24"/>
          <w:lang w:val="es-ES"/>
        </w:rPr>
      </w:pPr>
      <w:r w:rsidRPr="002D2EB6">
        <w:rPr>
          <w:rFonts w:ascii="Garamond" w:hAnsi="Garamond" w:cstheme="minorBidi"/>
          <w:sz w:val="24"/>
          <w:szCs w:val="24"/>
          <w:lang w:val="es-ES"/>
        </w:rPr>
        <w:t>La Región Metropolitana Bogotá - Cundinamarca es una entidad administrativa de asociatividad regional con régimen especial, dotada de personería jurídica de derecho público, autonomía administrativa y patrimonio propio, a través de la cual las entidades territoriales que la integran concurren en el ejercicio de las competencias que les corresponden, con el fin de hacer eficaces los principios constitucionales de coordinación, concurrencia, complementariedad y subsidiariedad en la función administrativa y en la planeación del desarrollo dada su interdependencia geográfica, ambiental, social o económica, creada mediante la Ley Orgánica 2199 del 08 de febrero de 2022. Mediante el Acuerdo 858 de 2022 del Concejo de Bogotá se aprobó el ingreso del Distrito Capital a la Región Metropolitana Bogotá - Cundinamarca. La finalidad de la Región Metropolitana es garantizar la formulación y ejecución de políticas públicas, planes, programas y proyectos de desarrollo sostenible, así como la prestación oportuna y eficiente de los servicios a su cargo, promoviendo el desarrollo armónico, la equidad, el cierre de brechas entre los territorios y la ejecución de obras de interés regional.</w:t>
      </w:r>
    </w:p>
    <w:p w14:paraId="6E1629D3" w14:textId="77777777" w:rsidR="002D2EB6" w:rsidRDefault="002D2EB6" w:rsidP="00F92A53">
      <w:pPr>
        <w:jc w:val="both"/>
        <w:rPr>
          <w:rFonts w:ascii="Garamond" w:hAnsi="Garamond" w:cstheme="minorBidi"/>
          <w:b/>
          <w:sz w:val="24"/>
          <w:szCs w:val="24"/>
          <w:lang w:val="es-ES"/>
        </w:rPr>
      </w:pPr>
    </w:p>
    <w:p w14:paraId="7EF1CA40" w14:textId="71194FF2" w:rsidR="00F92A53" w:rsidRDefault="00F92A53" w:rsidP="00F92A53">
      <w:pPr>
        <w:jc w:val="both"/>
        <w:rPr>
          <w:rFonts w:ascii="Garamond" w:hAnsi="Garamond" w:cstheme="minorBidi"/>
          <w:sz w:val="24"/>
          <w:szCs w:val="24"/>
          <w:lang w:val="es-ES"/>
        </w:rPr>
      </w:pPr>
      <w:r w:rsidRPr="002D2EB6">
        <w:rPr>
          <w:rFonts w:ascii="Garamond" w:hAnsi="Garamond" w:cstheme="minorBidi"/>
          <w:sz w:val="24"/>
          <w:szCs w:val="24"/>
          <w:lang w:val="es-ES"/>
        </w:rPr>
        <w:t>A partir de lo anterior, Atenea y la Región Metropolitana celebraron un convenio para obtener recursos que permitan favorecer el acceso y permanencia de jóvenes de la Región Metropolitana a la educación posmedia con el programa “Jóvenes a la E” en niveles de formación Técnico profesional, Tecnológico y Universitario en las áreas de conocimiento relacionadas con los hechos metropolitanos sobre la seguridad alimentaria.</w:t>
      </w:r>
    </w:p>
    <w:p w14:paraId="731CEA60" w14:textId="77777777" w:rsidR="002D2EB6" w:rsidRPr="002D2EB6" w:rsidRDefault="002D2EB6" w:rsidP="00F92A53">
      <w:pPr>
        <w:jc w:val="both"/>
        <w:rPr>
          <w:rFonts w:ascii="Garamond" w:hAnsi="Garamond" w:cstheme="minorBidi"/>
          <w:sz w:val="24"/>
          <w:szCs w:val="24"/>
          <w:lang w:val="es-ES"/>
        </w:rPr>
      </w:pPr>
    </w:p>
    <w:p w14:paraId="1CE8F170" w14:textId="7BF8F392" w:rsidR="00F92A53" w:rsidRPr="002D2EB6" w:rsidRDefault="002D2EB6" w:rsidP="0055486F">
      <w:pPr>
        <w:pStyle w:val="Prrafodelista"/>
        <w:numPr>
          <w:ilvl w:val="4"/>
          <w:numId w:val="40"/>
        </w:numPr>
        <w:jc w:val="both"/>
        <w:rPr>
          <w:rFonts w:ascii="Garamond" w:hAnsi="Garamond"/>
          <w:b/>
          <w:bCs/>
          <w:sz w:val="24"/>
          <w:szCs w:val="24"/>
          <w:lang w:val="es-ES"/>
        </w:rPr>
      </w:pPr>
      <w:r w:rsidRPr="002D2EB6">
        <w:rPr>
          <w:rFonts w:ascii="Garamond" w:hAnsi="Garamond"/>
          <w:b/>
          <w:bCs/>
          <w:sz w:val="24"/>
          <w:szCs w:val="24"/>
          <w:lang w:val="es-ES"/>
        </w:rPr>
        <w:t xml:space="preserve">Unidad Administrativa Especial De Servicios Públicos – </w:t>
      </w:r>
      <w:r w:rsidR="00CF614D" w:rsidRPr="002D2EB6">
        <w:rPr>
          <w:rFonts w:ascii="Garamond" w:hAnsi="Garamond"/>
          <w:b/>
          <w:bCs/>
          <w:sz w:val="24"/>
          <w:szCs w:val="24"/>
          <w:lang w:val="es-ES"/>
        </w:rPr>
        <w:t>UAESP</w:t>
      </w:r>
    </w:p>
    <w:p w14:paraId="4FFF6E67" w14:textId="77777777" w:rsidR="002D2EB6" w:rsidRPr="00F92A53" w:rsidRDefault="002D2EB6" w:rsidP="00F92A53">
      <w:pPr>
        <w:jc w:val="both"/>
        <w:rPr>
          <w:rFonts w:ascii="Garamond" w:hAnsi="Garamond" w:cstheme="minorBidi"/>
          <w:b/>
          <w:bCs/>
          <w:sz w:val="24"/>
          <w:szCs w:val="24"/>
          <w:lang w:val="es-ES"/>
        </w:rPr>
      </w:pPr>
    </w:p>
    <w:p w14:paraId="2F8316A7" w14:textId="056FF4B2" w:rsidR="00F92A53" w:rsidRDefault="00F92A53" w:rsidP="00F92A53">
      <w:pPr>
        <w:jc w:val="both"/>
        <w:rPr>
          <w:rFonts w:ascii="Garamond" w:hAnsi="Garamond" w:cstheme="minorBidi"/>
          <w:sz w:val="24"/>
          <w:szCs w:val="24"/>
          <w:lang w:val="es-ES"/>
        </w:rPr>
      </w:pPr>
      <w:r w:rsidRPr="002D2EB6">
        <w:rPr>
          <w:rFonts w:ascii="Garamond" w:hAnsi="Garamond" w:cstheme="minorBidi"/>
          <w:sz w:val="24"/>
          <w:szCs w:val="24"/>
          <w:lang w:val="es-ES"/>
        </w:rPr>
        <w:t>La UNIDAD ADMINISTRATIVA ESPECIAL DE SERVICIOS PÚBLICOS – UAESP y la AGENCIA ATENEA celebraron un convenio interadministrativo para la implementación del Programa Jóvenes a la E para jóvenes de la localidad de Ciudad Bolívar- habitantes de la zona de influencia del Parque de Innovación Doña Juana-PIDJ establecida en la licencia ambiental. La destinación de estos recursos permitirá ampliar la cobertura del programa en dicha localidad beneficiando a estudiantes vulnerables con al acceso y la permanencia en la educación superior.</w:t>
      </w:r>
    </w:p>
    <w:p w14:paraId="330AF694" w14:textId="77777777" w:rsidR="002D2EB6" w:rsidRPr="002D2EB6" w:rsidRDefault="002D2EB6" w:rsidP="00F92A53">
      <w:pPr>
        <w:jc w:val="both"/>
        <w:rPr>
          <w:rFonts w:ascii="Garamond" w:hAnsi="Garamond" w:cstheme="minorBidi"/>
          <w:sz w:val="24"/>
          <w:szCs w:val="24"/>
          <w:lang w:val="es-ES"/>
        </w:rPr>
      </w:pPr>
    </w:p>
    <w:p w14:paraId="5308CAA6" w14:textId="77777777" w:rsidR="00F92A53" w:rsidRPr="002D2EB6" w:rsidRDefault="00F92A53" w:rsidP="00F92A53">
      <w:pPr>
        <w:jc w:val="both"/>
        <w:rPr>
          <w:rFonts w:ascii="Garamond" w:hAnsi="Garamond" w:cstheme="minorBidi"/>
          <w:sz w:val="24"/>
          <w:szCs w:val="24"/>
          <w:lang w:val="es-ES"/>
        </w:rPr>
      </w:pPr>
      <w:r w:rsidRPr="002D2EB6">
        <w:rPr>
          <w:rFonts w:ascii="Garamond" w:hAnsi="Garamond" w:cstheme="minorBidi"/>
          <w:sz w:val="24"/>
          <w:szCs w:val="24"/>
          <w:lang w:val="es-ES"/>
        </w:rPr>
        <w:t xml:space="preserve">Es importante señalar que la Agencia Atenea reconocerá hasta el 70% del valor de la matrícula académica establecida en la resolución de costos pecuniarios expedida por las Instituciones de Educación Superior privadas, hasta el 100% del valor de las matrículas de programas de educación y </w:t>
      </w:r>
      <w:r w:rsidRPr="002D2EB6">
        <w:rPr>
          <w:rFonts w:ascii="Garamond" w:hAnsi="Garamond" w:cstheme="minorBidi"/>
          <w:sz w:val="24"/>
          <w:szCs w:val="24"/>
          <w:lang w:val="es-ES"/>
        </w:rPr>
        <w:lastRenderedPageBreak/>
        <w:t>formación para el trabajo que oferten Instituciones de Educación para el Trabajo y Desarrollo Humano y las Instituciones de Educación Superior, y hasta el 100% del valor de referencia en las Instituciones de Educación Superior Oficiales, esto maximiza el uso de los recursos del Distrito para la ampliación de la financiación a más jóvenes de la ciudad. En línea con lo anterior, es importante señalar que el valor restante con las IES privadas (30%) lo asumen estas como forma de contrapartida y no los beneficiarios.</w:t>
      </w:r>
    </w:p>
    <w:p w14:paraId="1353352C" w14:textId="77777777" w:rsidR="00F92A53" w:rsidRPr="00F92A53" w:rsidRDefault="00F92A53" w:rsidP="00F92A53">
      <w:pPr>
        <w:jc w:val="both"/>
        <w:rPr>
          <w:rFonts w:ascii="Garamond" w:hAnsi="Garamond" w:cstheme="minorBidi"/>
          <w:b/>
          <w:sz w:val="24"/>
          <w:szCs w:val="24"/>
        </w:rPr>
      </w:pPr>
    </w:p>
    <w:p w14:paraId="7A2B9DEA" w14:textId="69C8274B" w:rsidR="00F92A53" w:rsidRPr="00D56274" w:rsidRDefault="00F92A53" w:rsidP="0055486F">
      <w:pPr>
        <w:pStyle w:val="Prrafodelista"/>
        <w:numPr>
          <w:ilvl w:val="2"/>
          <w:numId w:val="40"/>
        </w:numPr>
        <w:jc w:val="both"/>
        <w:rPr>
          <w:rFonts w:ascii="Garamond" w:hAnsi="Garamond"/>
          <w:b/>
          <w:bCs/>
          <w:sz w:val="24"/>
          <w:szCs w:val="24"/>
        </w:rPr>
      </w:pPr>
      <w:r w:rsidRPr="00D56274">
        <w:rPr>
          <w:rFonts w:ascii="Garamond" w:hAnsi="Garamond"/>
          <w:b/>
          <w:bCs/>
          <w:sz w:val="24"/>
          <w:szCs w:val="24"/>
        </w:rPr>
        <w:t>Ciclo Operativo del Programa Jóvenes a la E</w:t>
      </w:r>
    </w:p>
    <w:p w14:paraId="76561E67" w14:textId="3BE6C56B" w:rsidR="00F92A53" w:rsidRPr="001F00B8" w:rsidRDefault="00F92A53" w:rsidP="00F92A53">
      <w:pPr>
        <w:jc w:val="both"/>
        <w:rPr>
          <w:rFonts w:ascii="Garamond" w:hAnsi="Garamond" w:cstheme="minorBidi"/>
          <w:sz w:val="24"/>
          <w:szCs w:val="24"/>
        </w:rPr>
      </w:pPr>
      <w:r w:rsidRPr="001F00B8">
        <w:rPr>
          <w:rFonts w:ascii="Garamond" w:hAnsi="Garamond" w:cstheme="minorBidi"/>
          <w:sz w:val="24"/>
          <w:szCs w:val="24"/>
        </w:rPr>
        <w:t xml:space="preserve">Para la ejecución del programa se tienen previstas las siguientes etapas: </w:t>
      </w:r>
    </w:p>
    <w:p w14:paraId="1F3073DD" w14:textId="77777777" w:rsidR="00D56274" w:rsidRPr="00F92A53" w:rsidRDefault="00D56274" w:rsidP="00F92A53">
      <w:pPr>
        <w:jc w:val="both"/>
        <w:rPr>
          <w:rFonts w:ascii="Garamond" w:hAnsi="Garamond" w:cstheme="minorBidi"/>
          <w:b/>
          <w:sz w:val="24"/>
          <w:szCs w:val="24"/>
        </w:rPr>
      </w:pPr>
    </w:p>
    <w:p w14:paraId="60D9541F" w14:textId="2E975AF0" w:rsidR="00F92A53" w:rsidRDefault="001F00B8" w:rsidP="0055486F">
      <w:pPr>
        <w:numPr>
          <w:ilvl w:val="0"/>
          <w:numId w:val="29"/>
        </w:numPr>
        <w:jc w:val="both"/>
        <w:rPr>
          <w:rFonts w:ascii="Garamond" w:hAnsi="Garamond" w:cstheme="minorBidi"/>
          <w:b/>
          <w:bCs/>
          <w:sz w:val="24"/>
          <w:szCs w:val="24"/>
        </w:rPr>
      </w:pPr>
      <w:r w:rsidRPr="00F92A53">
        <w:rPr>
          <w:rFonts w:ascii="Garamond" w:hAnsi="Garamond" w:cstheme="minorBidi"/>
          <w:b/>
          <w:bCs/>
          <w:sz w:val="24"/>
          <w:szCs w:val="24"/>
        </w:rPr>
        <w:t>Convocatoria Dirigida A Las Instituciones De Educación Superior Y De Educación Y Formación Para El Trabajo</w:t>
      </w:r>
    </w:p>
    <w:p w14:paraId="6EFF84AF" w14:textId="77777777" w:rsidR="001F00B8" w:rsidRPr="00F92A53" w:rsidRDefault="001F00B8" w:rsidP="001F00B8">
      <w:pPr>
        <w:ind w:left="720"/>
        <w:jc w:val="both"/>
        <w:rPr>
          <w:rFonts w:ascii="Garamond" w:hAnsi="Garamond" w:cstheme="minorBidi"/>
          <w:b/>
          <w:bCs/>
          <w:sz w:val="24"/>
          <w:szCs w:val="24"/>
        </w:rPr>
      </w:pPr>
    </w:p>
    <w:p w14:paraId="0C7D0919" w14:textId="142AE5EF" w:rsidR="00F92A53" w:rsidRPr="00D67E1B" w:rsidRDefault="00F92A53" w:rsidP="00F92A53">
      <w:pPr>
        <w:jc w:val="both"/>
        <w:rPr>
          <w:rFonts w:ascii="Garamond" w:hAnsi="Garamond" w:cstheme="minorBidi"/>
          <w:sz w:val="24"/>
          <w:szCs w:val="24"/>
        </w:rPr>
      </w:pPr>
      <w:r w:rsidRPr="00D67E1B">
        <w:rPr>
          <w:rFonts w:ascii="Garamond" w:hAnsi="Garamond" w:cstheme="minorBidi"/>
          <w:sz w:val="24"/>
          <w:szCs w:val="24"/>
        </w:rPr>
        <w:t>La materialización del componente de acceso a la educación superior inicia en esta etapa.</w:t>
      </w:r>
    </w:p>
    <w:p w14:paraId="33D2C3C6" w14:textId="72BD81CC" w:rsidR="00F92A53" w:rsidRDefault="00F92A53" w:rsidP="00F92A53">
      <w:pPr>
        <w:jc w:val="both"/>
        <w:rPr>
          <w:rFonts w:ascii="Garamond" w:hAnsi="Garamond" w:cstheme="minorBidi"/>
          <w:sz w:val="24"/>
          <w:szCs w:val="24"/>
        </w:rPr>
      </w:pPr>
      <w:r w:rsidRPr="00D67E1B">
        <w:rPr>
          <w:rFonts w:ascii="Garamond" w:hAnsi="Garamond" w:cstheme="minorBidi"/>
          <w:sz w:val="24"/>
          <w:szCs w:val="24"/>
        </w:rPr>
        <w:t>Así, para su ejecución la Agencia Atenea establece y publica el lineamiento operativo que describe los requisitos y criterios para la participación de las instituciones de educación superior (IES) oficiales y no oficiales e Instituciones de Educación Para el Trabajo y el Desarrollo Humano en el Programa, así como, las características de los programas académicos que se espera ofertar en la convocatoria dirigida a los aspirantes, los compromisos que adquieren las instituciones con la ejecución del Programa, las acciones mínimas para el acompañamiento de las y los beneficiarios en el ámbito del componente de permanencia, y el mecanismo para la selección y aprobación de las ofertas técnicas, académicas y económicas presentadas.</w:t>
      </w:r>
    </w:p>
    <w:p w14:paraId="6B296CC3" w14:textId="77777777" w:rsidR="00D67E1B" w:rsidRPr="00D67E1B" w:rsidRDefault="00D67E1B" w:rsidP="00F92A53">
      <w:pPr>
        <w:jc w:val="both"/>
        <w:rPr>
          <w:rFonts w:ascii="Garamond" w:hAnsi="Garamond" w:cstheme="minorBidi"/>
          <w:sz w:val="24"/>
          <w:szCs w:val="24"/>
        </w:rPr>
      </w:pPr>
    </w:p>
    <w:p w14:paraId="37AD458B" w14:textId="4C4DBEB3" w:rsidR="00F92A53" w:rsidRDefault="00F92A53" w:rsidP="00F92A53">
      <w:pPr>
        <w:jc w:val="both"/>
        <w:rPr>
          <w:rFonts w:ascii="Garamond" w:hAnsi="Garamond" w:cstheme="minorBidi"/>
          <w:sz w:val="24"/>
          <w:szCs w:val="24"/>
        </w:rPr>
      </w:pPr>
      <w:r w:rsidRPr="00D67E1B">
        <w:rPr>
          <w:rFonts w:ascii="Garamond" w:hAnsi="Garamond" w:cstheme="minorBidi"/>
          <w:sz w:val="24"/>
          <w:szCs w:val="24"/>
        </w:rPr>
        <w:t>La Agencia Atenea debe asegurar los recursos financieros necesarios para publicar los procesos de contratación con las instituciones y los aspirantes. Por esta razón, es fundamental que los convenios suscritos con entidades públicas, incluidas los Fondos de Desarrollo Local, contemplen un único desembolso. Esto garantizará la disponibilidad presupuestal requerida para llevar a cabo las convocatorias de manera oportuna para instituciones y para aspirantes, garantizando la financiación de las cohortes completas de los beneficiarios.</w:t>
      </w:r>
    </w:p>
    <w:p w14:paraId="5D99AB26" w14:textId="77777777" w:rsidR="00D67E1B" w:rsidRPr="00D67E1B" w:rsidRDefault="00D67E1B" w:rsidP="00F92A53">
      <w:pPr>
        <w:jc w:val="both"/>
        <w:rPr>
          <w:rFonts w:ascii="Garamond" w:hAnsi="Garamond" w:cstheme="minorBidi"/>
          <w:sz w:val="24"/>
          <w:szCs w:val="24"/>
        </w:rPr>
      </w:pPr>
    </w:p>
    <w:p w14:paraId="0D51AB55" w14:textId="57E58976" w:rsidR="00F92A53" w:rsidRDefault="00F92A53" w:rsidP="0055486F">
      <w:pPr>
        <w:numPr>
          <w:ilvl w:val="0"/>
          <w:numId w:val="29"/>
        </w:numPr>
        <w:jc w:val="both"/>
        <w:rPr>
          <w:rFonts w:ascii="Garamond" w:hAnsi="Garamond" w:cstheme="minorBidi"/>
          <w:b/>
          <w:bCs/>
          <w:sz w:val="24"/>
          <w:szCs w:val="24"/>
        </w:rPr>
      </w:pPr>
      <w:r w:rsidRPr="00F92A53">
        <w:rPr>
          <w:rFonts w:ascii="Garamond" w:hAnsi="Garamond" w:cstheme="minorBidi"/>
          <w:b/>
          <w:sz w:val="24"/>
          <w:szCs w:val="24"/>
        </w:rPr>
        <w:t xml:space="preserve"> </w:t>
      </w:r>
      <w:r w:rsidR="00114A5F" w:rsidRPr="00F92A53">
        <w:rPr>
          <w:rFonts w:ascii="Garamond" w:hAnsi="Garamond" w:cstheme="minorBidi"/>
          <w:b/>
          <w:bCs/>
          <w:sz w:val="24"/>
          <w:szCs w:val="24"/>
        </w:rPr>
        <w:t xml:space="preserve">Convocatoria Dirigida A Los Aspirantes </w:t>
      </w:r>
    </w:p>
    <w:p w14:paraId="4090AC2A" w14:textId="77777777" w:rsidR="00226B8D" w:rsidRPr="00F92A53" w:rsidRDefault="00226B8D" w:rsidP="00226B8D">
      <w:pPr>
        <w:ind w:left="720"/>
        <w:jc w:val="both"/>
        <w:rPr>
          <w:rFonts w:ascii="Garamond" w:hAnsi="Garamond" w:cstheme="minorBidi"/>
          <w:b/>
          <w:bCs/>
          <w:sz w:val="24"/>
          <w:szCs w:val="24"/>
        </w:rPr>
      </w:pPr>
    </w:p>
    <w:p w14:paraId="11269A72" w14:textId="19E3F44E" w:rsidR="00F92A53" w:rsidRDefault="00F92A53" w:rsidP="00F92A53">
      <w:pPr>
        <w:jc w:val="both"/>
        <w:rPr>
          <w:rFonts w:ascii="Garamond" w:hAnsi="Garamond" w:cstheme="minorBidi"/>
          <w:sz w:val="24"/>
          <w:szCs w:val="24"/>
        </w:rPr>
      </w:pPr>
      <w:r w:rsidRPr="000139F6">
        <w:rPr>
          <w:rFonts w:ascii="Garamond" w:hAnsi="Garamond" w:cstheme="minorBidi"/>
          <w:sz w:val="24"/>
          <w:szCs w:val="24"/>
        </w:rPr>
        <w:t xml:space="preserve">Siguiendo el componente de acceso a la educación posmedia, su materialización final se da con la asignación y formalización del beneficio en el programa en el que fueron seleccionados los aspirantes a partir de su inscripción en la convocatoria en las líneas habilitadas por Atenea, sean estas para el capítulo de programas de educación superior o los relacionados con la educación para el trabajo y el </w:t>
      </w:r>
      <w:r w:rsidRPr="000139F6">
        <w:rPr>
          <w:rFonts w:ascii="Garamond" w:hAnsi="Garamond" w:cstheme="minorBidi"/>
          <w:sz w:val="24"/>
          <w:szCs w:val="24"/>
        </w:rPr>
        <w:lastRenderedPageBreak/>
        <w:t xml:space="preserve">desarrollo humano que se desarrollan bajo la “Estrategia Intersectorial para la Inclusión social y productiva – Jóvenes con Oportunidades” de la Actual Administración Distrital. </w:t>
      </w:r>
    </w:p>
    <w:p w14:paraId="59201ED0" w14:textId="77777777" w:rsidR="000139F6" w:rsidRPr="000139F6" w:rsidRDefault="000139F6" w:rsidP="00F92A53">
      <w:pPr>
        <w:jc w:val="both"/>
        <w:rPr>
          <w:rFonts w:ascii="Garamond" w:hAnsi="Garamond" w:cstheme="minorBidi"/>
          <w:sz w:val="24"/>
          <w:szCs w:val="24"/>
        </w:rPr>
      </w:pPr>
    </w:p>
    <w:p w14:paraId="10FFD498" w14:textId="5748B34B" w:rsidR="00F92A53" w:rsidRPr="000139F6" w:rsidRDefault="00F92A53" w:rsidP="00F92A53">
      <w:pPr>
        <w:jc w:val="both"/>
        <w:rPr>
          <w:rFonts w:ascii="Garamond" w:hAnsi="Garamond" w:cstheme="minorBidi"/>
          <w:sz w:val="24"/>
          <w:szCs w:val="24"/>
        </w:rPr>
      </w:pPr>
      <w:r w:rsidRPr="000139F6">
        <w:rPr>
          <w:rFonts w:ascii="Garamond" w:hAnsi="Garamond" w:cstheme="minorBidi"/>
          <w:sz w:val="24"/>
          <w:szCs w:val="24"/>
        </w:rPr>
        <w:t>A su turno, la selección de los aspirantes en las convocatorias públicas que adelanta Atenea obedece a un mecanismo que reconoce la vulnerabilidad individual y estructural de los jóvenes, y premia el mérito académico. Lo anterior, se establece en el lineamiento operativo dirigido a los aspirantes. Así mismo, el mecanismo de selección contemplado por Atenea se describe en el “</w:t>
      </w:r>
      <w:hyperlink r:id="rId18">
        <w:r w:rsidRPr="000139F6">
          <w:rPr>
            <w:rStyle w:val="Hipervnculo"/>
            <w:rFonts w:ascii="Garamond" w:hAnsi="Garamond" w:cstheme="minorBidi"/>
            <w:sz w:val="24"/>
            <w:szCs w:val="24"/>
          </w:rPr>
          <w:t>Documento Técnico de Soporte”</w:t>
        </w:r>
      </w:hyperlink>
      <w:r w:rsidRPr="000139F6">
        <w:rPr>
          <w:rFonts w:ascii="Garamond" w:hAnsi="Garamond" w:cstheme="minorBidi"/>
          <w:sz w:val="24"/>
          <w:szCs w:val="24"/>
        </w:rPr>
        <w:t>.</w:t>
      </w:r>
    </w:p>
    <w:p w14:paraId="1B1321D6" w14:textId="77777777" w:rsidR="00114A5F" w:rsidRPr="00F92A53" w:rsidRDefault="00114A5F" w:rsidP="00F92A53">
      <w:pPr>
        <w:jc w:val="both"/>
        <w:rPr>
          <w:rFonts w:ascii="Garamond" w:hAnsi="Garamond" w:cstheme="minorBidi"/>
          <w:b/>
          <w:sz w:val="24"/>
          <w:szCs w:val="24"/>
        </w:rPr>
      </w:pPr>
    </w:p>
    <w:p w14:paraId="418B8224" w14:textId="3C504D29" w:rsidR="00F92A53" w:rsidRDefault="00F95EAC" w:rsidP="0055486F">
      <w:pPr>
        <w:numPr>
          <w:ilvl w:val="0"/>
          <w:numId w:val="29"/>
        </w:numPr>
        <w:jc w:val="both"/>
        <w:rPr>
          <w:rFonts w:ascii="Garamond" w:hAnsi="Garamond" w:cstheme="minorBidi"/>
          <w:b/>
          <w:bCs/>
          <w:sz w:val="24"/>
          <w:szCs w:val="24"/>
        </w:rPr>
      </w:pPr>
      <w:r w:rsidRPr="00F92A53">
        <w:rPr>
          <w:rFonts w:ascii="Garamond" w:hAnsi="Garamond" w:cstheme="minorBidi"/>
          <w:b/>
          <w:bCs/>
          <w:sz w:val="24"/>
          <w:szCs w:val="24"/>
        </w:rPr>
        <w:t xml:space="preserve">Formación Académica De Las Y Los Beneficiarios </w:t>
      </w:r>
    </w:p>
    <w:p w14:paraId="6A0ECD37" w14:textId="77777777" w:rsidR="00F95EAC" w:rsidRPr="00F92A53" w:rsidRDefault="00F95EAC" w:rsidP="00F95EAC">
      <w:pPr>
        <w:ind w:left="720"/>
        <w:jc w:val="both"/>
        <w:rPr>
          <w:rFonts w:ascii="Garamond" w:hAnsi="Garamond" w:cstheme="minorBidi"/>
          <w:b/>
          <w:bCs/>
          <w:sz w:val="24"/>
          <w:szCs w:val="24"/>
        </w:rPr>
      </w:pPr>
    </w:p>
    <w:p w14:paraId="200C7E64" w14:textId="77777777" w:rsidR="00F92A53" w:rsidRPr="00017BE8" w:rsidRDefault="00F92A53" w:rsidP="00F92A53">
      <w:pPr>
        <w:jc w:val="both"/>
        <w:rPr>
          <w:rFonts w:ascii="Garamond" w:hAnsi="Garamond" w:cstheme="minorBidi"/>
          <w:sz w:val="24"/>
          <w:szCs w:val="24"/>
        </w:rPr>
      </w:pPr>
      <w:r w:rsidRPr="00017BE8">
        <w:rPr>
          <w:rFonts w:ascii="Garamond" w:hAnsi="Garamond" w:cstheme="minorBidi"/>
          <w:sz w:val="24"/>
          <w:szCs w:val="24"/>
        </w:rPr>
        <w:t xml:space="preserve">En esta etapa se desarrollan los procesos propios relacionados con la formación académica de los beneficiarios por parte de las Instituciones de Educación Superior y de Educación y Formación para el Trabajo, a su turno se efectúa la entrega del apoyo económico a las y los beneficiarios de hasta 1 SMMLV por período académico cursado (salvo las particularidades convenidas en las Alianzas establecidas por Atenea con otras entidades oficiales). </w:t>
      </w:r>
    </w:p>
    <w:p w14:paraId="1A59779B" w14:textId="2F776DC6" w:rsidR="00F92A53" w:rsidRDefault="00F92A53" w:rsidP="00F92A53">
      <w:pPr>
        <w:jc w:val="both"/>
        <w:rPr>
          <w:rFonts w:ascii="Garamond" w:hAnsi="Garamond" w:cstheme="minorBidi"/>
          <w:sz w:val="24"/>
          <w:szCs w:val="24"/>
        </w:rPr>
      </w:pPr>
      <w:r w:rsidRPr="00017BE8">
        <w:rPr>
          <w:rFonts w:ascii="Garamond" w:hAnsi="Garamond" w:cstheme="minorBidi"/>
          <w:sz w:val="24"/>
          <w:szCs w:val="24"/>
        </w:rPr>
        <w:t>También contempla un apoyo en especie que se percibe en forma de bienes, productos o servicios como alternativa o complemento del dinero contemplado en el apoyo económico y que busca también promover su permanencia académica y cuyas condiciones de entrega se establecen en el lineamiento operativo o guía correspondiente. Este apoyo no es un derecho adquirido como el económico, ya que podrá ser gestionado por Atenea con aliados.</w:t>
      </w:r>
    </w:p>
    <w:p w14:paraId="13BB1E19" w14:textId="77777777" w:rsidR="00017BE8" w:rsidRPr="00017BE8" w:rsidRDefault="00017BE8" w:rsidP="00F92A53">
      <w:pPr>
        <w:jc w:val="both"/>
        <w:rPr>
          <w:rFonts w:ascii="Garamond" w:hAnsi="Garamond" w:cstheme="minorBidi"/>
          <w:sz w:val="24"/>
          <w:szCs w:val="24"/>
        </w:rPr>
      </w:pPr>
    </w:p>
    <w:p w14:paraId="754E2E67" w14:textId="00491C14" w:rsidR="00F92A53" w:rsidRPr="00017BE8" w:rsidRDefault="00017BE8" w:rsidP="0055486F">
      <w:pPr>
        <w:numPr>
          <w:ilvl w:val="0"/>
          <w:numId w:val="29"/>
        </w:numPr>
        <w:jc w:val="both"/>
        <w:rPr>
          <w:rFonts w:ascii="Garamond" w:hAnsi="Garamond" w:cstheme="minorBidi"/>
          <w:b/>
          <w:bCs/>
          <w:sz w:val="24"/>
          <w:szCs w:val="24"/>
        </w:rPr>
      </w:pPr>
      <w:r>
        <w:rPr>
          <w:rFonts w:ascii="Garamond" w:hAnsi="Garamond" w:cstheme="minorBidi"/>
          <w:b/>
          <w:bCs/>
          <w:sz w:val="24"/>
          <w:szCs w:val="24"/>
        </w:rPr>
        <w:t>Retribución Social</w:t>
      </w:r>
    </w:p>
    <w:p w14:paraId="0A5B8C57" w14:textId="77777777" w:rsidR="00017BE8" w:rsidRPr="00017BE8" w:rsidRDefault="00017BE8" w:rsidP="00017BE8">
      <w:pPr>
        <w:ind w:left="720"/>
        <w:jc w:val="both"/>
        <w:rPr>
          <w:rFonts w:ascii="Garamond" w:hAnsi="Garamond" w:cstheme="minorBidi"/>
          <w:bCs/>
          <w:sz w:val="24"/>
          <w:szCs w:val="24"/>
        </w:rPr>
      </w:pPr>
    </w:p>
    <w:p w14:paraId="53570EFE" w14:textId="77777777" w:rsidR="00F92A53" w:rsidRPr="00017BE8" w:rsidRDefault="00F92A53" w:rsidP="00F92A53">
      <w:pPr>
        <w:jc w:val="both"/>
        <w:rPr>
          <w:rFonts w:ascii="Garamond" w:hAnsi="Garamond" w:cstheme="minorBidi"/>
          <w:sz w:val="24"/>
          <w:szCs w:val="24"/>
        </w:rPr>
      </w:pPr>
      <w:r w:rsidRPr="00017BE8">
        <w:rPr>
          <w:rFonts w:ascii="Garamond" w:hAnsi="Garamond" w:cstheme="minorBidi"/>
          <w:sz w:val="24"/>
          <w:szCs w:val="24"/>
        </w:rPr>
        <w:t>Todos los beneficiarios del Programa deben realizar una pasantía social que consiste en un conjunto de acciones orientadas al acompañamiento y fortalecimiento del valor público y social por medio de la cualificación y desarrollo de competencias ciudadanas para la consolidación del sentido de pertenencia y arraigo por Bogotá. Esta pasantía se constituye en una obligación por parte de las y los beneficiarios frente a su participación en el Programa, e inclusive es un requisito para acceder a beneficios como cambios de ruta de formación o financiación adicional por pérdida de componentes académicos.</w:t>
      </w:r>
    </w:p>
    <w:p w14:paraId="4DE6FD90" w14:textId="77777777" w:rsidR="00F92A53" w:rsidRPr="00017BE8" w:rsidRDefault="00F92A53" w:rsidP="00F92A53">
      <w:pPr>
        <w:jc w:val="both"/>
        <w:rPr>
          <w:rFonts w:ascii="Garamond" w:hAnsi="Garamond" w:cstheme="minorBidi"/>
          <w:sz w:val="24"/>
          <w:szCs w:val="24"/>
        </w:rPr>
      </w:pPr>
      <w:r w:rsidRPr="00017BE8">
        <w:rPr>
          <w:rFonts w:ascii="Garamond" w:hAnsi="Garamond" w:cstheme="minorBidi"/>
          <w:sz w:val="24"/>
          <w:szCs w:val="24"/>
        </w:rPr>
        <w:t>La Pasantía social tiene una duración en promedio de 32 horas por período académico cursado por el beneficiario o aquel que defina el Manual Operativo, y la podrán desarrollar a través de las alianzas realizadas por Atenea con las unidades de extensión social de las instituciones de educación en donde adelantan sus estudios los beneficiarios, con entidades del orden distrital y con Fondos de Desarrollo Local que se sumen al catálogo de actividades de Atenea.</w:t>
      </w:r>
    </w:p>
    <w:p w14:paraId="319A6E9B" w14:textId="77777777" w:rsidR="00F92A53" w:rsidRPr="00017BE8" w:rsidRDefault="00F92A53" w:rsidP="00F92A53">
      <w:pPr>
        <w:jc w:val="both"/>
        <w:rPr>
          <w:rFonts w:ascii="Garamond" w:hAnsi="Garamond" w:cstheme="minorBidi"/>
          <w:sz w:val="24"/>
          <w:szCs w:val="24"/>
        </w:rPr>
      </w:pPr>
      <w:r w:rsidRPr="00017BE8">
        <w:rPr>
          <w:rFonts w:ascii="Garamond" w:hAnsi="Garamond" w:cstheme="minorBidi"/>
          <w:sz w:val="24"/>
          <w:szCs w:val="24"/>
        </w:rPr>
        <w:t xml:space="preserve">Teniendo en cuenta que el convenio interadministrativo es un acuerdo de corresponsabilidad de recursos y de fines estatales en beneficio de la población, se hace necesario que los FDL generen </w:t>
      </w:r>
      <w:r w:rsidRPr="00017BE8">
        <w:rPr>
          <w:rFonts w:ascii="Garamond" w:hAnsi="Garamond" w:cstheme="minorBidi"/>
          <w:sz w:val="24"/>
          <w:szCs w:val="24"/>
        </w:rPr>
        <w:lastRenderedPageBreak/>
        <w:t>estrategias en su localidad para que los estudiantes beneficiarios del programa “Jóvenes a la E” puedan cumplir con la cantidad de horas de pasantías que deben reportar semestralmente.</w:t>
      </w:r>
    </w:p>
    <w:p w14:paraId="0C91FC5D" w14:textId="77777777" w:rsidR="00F92A53" w:rsidRPr="00017BE8" w:rsidRDefault="00F92A53" w:rsidP="00F92A53">
      <w:pPr>
        <w:jc w:val="both"/>
        <w:rPr>
          <w:rFonts w:ascii="Garamond" w:hAnsi="Garamond" w:cstheme="minorBidi"/>
          <w:sz w:val="24"/>
          <w:szCs w:val="24"/>
        </w:rPr>
      </w:pPr>
    </w:p>
    <w:p w14:paraId="1F7799B5" w14:textId="2AA976F3" w:rsidR="00017BE8" w:rsidRPr="0096166F" w:rsidRDefault="00F92A53" w:rsidP="0055486F">
      <w:pPr>
        <w:pStyle w:val="Prrafodelista"/>
        <w:numPr>
          <w:ilvl w:val="0"/>
          <w:numId w:val="29"/>
        </w:numPr>
        <w:jc w:val="both"/>
        <w:rPr>
          <w:rFonts w:ascii="Garamond" w:hAnsi="Garamond"/>
          <w:b/>
          <w:bCs/>
          <w:sz w:val="24"/>
          <w:szCs w:val="24"/>
        </w:rPr>
      </w:pPr>
      <w:r w:rsidRPr="0096166F">
        <w:rPr>
          <w:rFonts w:ascii="Garamond" w:hAnsi="Garamond"/>
          <w:b/>
          <w:bCs/>
          <w:sz w:val="24"/>
          <w:szCs w:val="24"/>
        </w:rPr>
        <w:t>Cobertura de riesgos – Póliza de Responsabilidad Civil Extracontractual</w:t>
      </w:r>
    </w:p>
    <w:p w14:paraId="578B3D45" w14:textId="0258B07F" w:rsidR="00F92A53" w:rsidRPr="00017BE8" w:rsidRDefault="00F92A53" w:rsidP="00F92A53">
      <w:pPr>
        <w:jc w:val="both"/>
        <w:rPr>
          <w:rFonts w:ascii="Garamond" w:hAnsi="Garamond" w:cstheme="minorBidi"/>
          <w:bCs/>
          <w:sz w:val="24"/>
          <w:szCs w:val="24"/>
        </w:rPr>
      </w:pPr>
      <w:r w:rsidRPr="00017BE8">
        <w:rPr>
          <w:rFonts w:ascii="Garamond" w:hAnsi="Garamond" w:cstheme="minorBidi"/>
          <w:bCs/>
          <w:sz w:val="24"/>
          <w:szCs w:val="24"/>
        </w:rPr>
        <w:tab/>
      </w:r>
    </w:p>
    <w:p w14:paraId="13BA76D5" w14:textId="77777777" w:rsidR="00F92A53" w:rsidRPr="00017BE8" w:rsidRDefault="00F92A53" w:rsidP="00F92A53">
      <w:pPr>
        <w:jc w:val="both"/>
        <w:rPr>
          <w:rFonts w:ascii="Garamond" w:hAnsi="Garamond" w:cstheme="minorBidi"/>
          <w:sz w:val="24"/>
          <w:szCs w:val="24"/>
        </w:rPr>
      </w:pPr>
      <w:r w:rsidRPr="00017BE8">
        <w:rPr>
          <w:rFonts w:ascii="Garamond" w:hAnsi="Garamond" w:cstheme="minorBidi"/>
          <w:sz w:val="24"/>
          <w:szCs w:val="24"/>
        </w:rPr>
        <w:t>Durante el cumplimiento de la Pasantía Social, pueden surgir eventualidades de riesgo que podrían repercutir negativamente en la vida o integridad física del beneficiario. Por ende, las Instituciones de Educación Superior que ya participan en la Pasantía (y que será un proceso a realizar con aquellas instituciones nuevas que se vinculen a la Pasantía Social posteriormente) cuentan con una póliza de seguro; adicionalmente, la agencia Atenea cuenta con una póliza de responsabilidad civil extracontractual que extiende la cobertura de los pasantes en las entidades aliadas y localidades donde estos realizan estas actividades.</w:t>
      </w:r>
    </w:p>
    <w:p w14:paraId="736D7908" w14:textId="77777777" w:rsidR="00F92A53" w:rsidRPr="00F92A53" w:rsidRDefault="00F92A53" w:rsidP="00F92A53">
      <w:pPr>
        <w:jc w:val="both"/>
        <w:rPr>
          <w:rFonts w:ascii="Garamond" w:hAnsi="Garamond" w:cstheme="minorBidi"/>
          <w:b/>
          <w:sz w:val="24"/>
          <w:szCs w:val="24"/>
        </w:rPr>
      </w:pPr>
    </w:p>
    <w:p w14:paraId="49C915D3" w14:textId="38E5F6C9" w:rsidR="00F92A53" w:rsidRDefault="00B57C5D" w:rsidP="0055486F">
      <w:pPr>
        <w:numPr>
          <w:ilvl w:val="0"/>
          <w:numId w:val="29"/>
        </w:numPr>
        <w:jc w:val="both"/>
        <w:rPr>
          <w:rFonts w:ascii="Garamond" w:hAnsi="Garamond" w:cstheme="minorBidi"/>
          <w:b/>
          <w:bCs/>
          <w:sz w:val="24"/>
          <w:szCs w:val="24"/>
        </w:rPr>
      </w:pPr>
      <w:r w:rsidRPr="00F92A53">
        <w:rPr>
          <w:rFonts w:ascii="Garamond" w:hAnsi="Garamond" w:cstheme="minorBidi"/>
          <w:b/>
          <w:bCs/>
          <w:sz w:val="24"/>
          <w:szCs w:val="24"/>
        </w:rPr>
        <w:t xml:space="preserve">Seguimiento Y Evaluación </w:t>
      </w:r>
    </w:p>
    <w:p w14:paraId="5314FDE6" w14:textId="77777777" w:rsidR="00B57C5D" w:rsidRPr="00F92A53" w:rsidRDefault="00B57C5D" w:rsidP="00B57C5D">
      <w:pPr>
        <w:ind w:left="720"/>
        <w:jc w:val="both"/>
        <w:rPr>
          <w:rFonts w:ascii="Garamond" w:hAnsi="Garamond" w:cstheme="minorBidi"/>
          <w:b/>
          <w:bCs/>
          <w:sz w:val="24"/>
          <w:szCs w:val="24"/>
        </w:rPr>
      </w:pPr>
    </w:p>
    <w:p w14:paraId="42572B79" w14:textId="77777777" w:rsidR="00F92A53" w:rsidRPr="004D410F" w:rsidRDefault="00F92A53" w:rsidP="00F92A53">
      <w:pPr>
        <w:jc w:val="both"/>
        <w:rPr>
          <w:rFonts w:ascii="Garamond" w:hAnsi="Garamond" w:cstheme="minorBidi"/>
          <w:sz w:val="24"/>
          <w:szCs w:val="24"/>
          <w:lang w:val="es-ES"/>
        </w:rPr>
      </w:pPr>
      <w:r w:rsidRPr="004D410F">
        <w:rPr>
          <w:rFonts w:ascii="Garamond" w:hAnsi="Garamond" w:cstheme="minorBidi"/>
          <w:sz w:val="24"/>
          <w:szCs w:val="24"/>
        </w:rPr>
        <w:t xml:space="preserve">Esta etapa inicia con el proceso formativo de las y los beneficiarios, siendo así un ejercicio trasversal e integral. Durante esta etapa se monitorea que los procesos administrativos, técnicos y financieros del Programa se estén ejecutando adecuadamente, identificando las acciones de mejora y/o preventivas que permitan mitigar riesgos en la operación del Programa. Este seguimiento y monitoreo se logra mediante el acompañamiento dispuesto por Atenea a las instituciones y con las herramientas de recolección de información previstas por la entidad que son insumo, entre otros, para la liquidación de pagos de los convenios. Dicho esto, esta etapa también contempla el seguimiento a la ejecución contractual que se desglosa en actividades periódicas e inclusive diarias sobre aspectos técnicos, administrativos y operativos que consolidan la operación de Jóvenes a la E en sus capítulos de educación superior y de educación y formación para el trabajo. </w:t>
      </w:r>
    </w:p>
    <w:p w14:paraId="252BA969" w14:textId="77777777" w:rsidR="00F92A53" w:rsidRPr="00F92A53" w:rsidRDefault="00F92A53" w:rsidP="00F92A53">
      <w:pPr>
        <w:jc w:val="both"/>
        <w:rPr>
          <w:rFonts w:ascii="Garamond" w:hAnsi="Garamond" w:cstheme="minorBidi"/>
          <w:b/>
          <w:sz w:val="24"/>
          <w:szCs w:val="24"/>
        </w:rPr>
      </w:pPr>
    </w:p>
    <w:p w14:paraId="170EDC91" w14:textId="5472774D" w:rsidR="00F92A53" w:rsidRPr="004D410F" w:rsidRDefault="00F92A53" w:rsidP="0055486F">
      <w:pPr>
        <w:pStyle w:val="Prrafodelista"/>
        <w:numPr>
          <w:ilvl w:val="2"/>
          <w:numId w:val="40"/>
        </w:numPr>
        <w:jc w:val="both"/>
        <w:rPr>
          <w:rFonts w:ascii="Garamond" w:hAnsi="Garamond"/>
          <w:b/>
          <w:bCs/>
          <w:sz w:val="24"/>
          <w:szCs w:val="24"/>
        </w:rPr>
      </w:pPr>
      <w:r w:rsidRPr="004D410F">
        <w:rPr>
          <w:rFonts w:ascii="Garamond" w:hAnsi="Garamond"/>
          <w:b/>
          <w:bCs/>
          <w:sz w:val="24"/>
          <w:szCs w:val="24"/>
        </w:rPr>
        <w:t>LA U EN TU COLEGIO</w:t>
      </w:r>
    </w:p>
    <w:p w14:paraId="30305BBA" w14:textId="4295F2F8" w:rsidR="00F92A53" w:rsidRDefault="00F92A53" w:rsidP="00F92A53">
      <w:pPr>
        <w:jc w:val="both"/>
        <w:rPr>
          <w:rFonts w:ascii="Garamond" w:hAnsi="Garamond" w:cstheme="minorBidi"/>
          <w:sz w:val="24"/>
          <w:szCs w:val="24"/>
        </w:rPr>
      </w:pPr>
      <w:r w:rsidRPr="00047908">
        <w:rPr>
          <w:rFonts w:ascii="Garamond" w:hAnsi="Garamond" w:cstheme="minorBidi"/>
          <w:sz w:val="24"/>
          <w:szCs w:val="24"/>
        </w:rPr>
        <w:t xml:space="preserve">La U en Tu Colegio UTC Bogotá, es una estrategia implementada por la Agencia Distrital de Educación Superior, Ciencia y Tecnología ATENEA, que busca ampliar las estrategias de articulación de la educación media con la educación posmedia, brindando la oportunidad para que las y los estudiantes de las Instituciones Educativas Distritales (IED) vinculadas a la estrategia UTC Bogotá, puedan cursar en paralelo con la educación media, programas de formación técnica profesional ofertados por Instituciones de Educación Superior (IES), contribuyendo a la construcción de trayectorias ocupacionales (educativas y/o laborales) satisfactorias para las y los estudiantes beneficiarios de la estrategia. </w:t>
      </w:r>
    </w:p>
    <w:p w14:paraId="03205563" w14:textId="77777777" w:rsidR="00047908" w:rsidRPr="00047908" w:rsidRDefault="00047908" w:rsidP="00F92A53">
      <w:pPr>
        <w:jc w:val="both"/>
        <w:rPr>
          <w:rFonts w:ascii="Garamond" w:hAnsi="Garamond" w:cstheme="minorBidi"/>
          <w:sz w:val="24"/>
          <w:szCs w:val="24"/>
        </w:rPr>
      </w:pPr>
    </w:p>
    <w:p w14:paraId="4A3BB920" w14:textId="2E9952ED" w:rsidR="00F92A53" w:rsidRDefault="00F92A53" w:rsidP="00F92A53">
      <w:pPr>
        <w:jc w:val="both"/>
        <w:rPr>
          <w:rFonts w:ascii="Garamond" w:hAnsi="Garamond" w:cstheme="minorBidi"/>
          <w:sz w:val="24"/>
          <w:szCs w:val="24"/>
        </w:rPr>
      </w:pPr>
      <w:r w:rsidRPr="00047908">
        <w:rPr>
          <w:rFonts w:ascii="Garamond" w:hAnsi="Garamond" w:cstheme="minorBidi"/>
          <w:sz w:val="24"/>
          <w:szCs w:val="24"/>
        </w:rPr>
        <w:lastRenderedPageBreak/>
        <w:t>Los estudiantes beneficiarios de la estrategia reciben además acompañamiento en la toma de decisiones informadas, desde el reconocimiento de sus intereses, aptitudes, valores, deseos y ponderación de las oportunidades de formación y de oferta laboral, que les aporte en la construcción de trayectorias ocupacionales satisfactorias.</w:t>
      </w:r>
    </w:p>
    <w:p w14:paraId="4B0F08FE" w14:textId="77777777" w:rsidR="007B2613" w:rsidRPr="00047908" w:rsidRDefault="007B2613" w:rsidP="00F92A53">
      <w:pPr>
        <w:jc w:val="both"/>
        <w:rPr>
          <w:rFonts w:ascii="Garamond" w:hAnsi="Garamond" w:cstheme="minorBidi"/>
          <w:sz w:val="24"/>
          <w:szCs w:val="24"/>
        </w:rPr>
      </w:pPr>
    </w:p>
    <w:p w14:paraId="22E191C9" w14:textId="17D6F20D" w:rsidR="00F53AF4" w:rsidRPr="00F53AF4" w:rsidRDefault="00F53AF4" w:rsidP="00F92A53">
      <w:pPr>
        <w:jc w:val="both"/>
        <w:rPr>
          <w:rFonts w:ascii="Garamond" w:hAnsi="Garamond" w:cstheme="minorBidi"/>
          <w:b/>
          <w:sz w:val="24"/>
          <w:szCs w:val="24"/>
        </w:rPr>
      </w:pPr>
      <w:r w:rsidRPr="00F53AF4">
        <w:rPr>
          <w:rFonts w:ascii="Garamond" w:hAnsi="Garamond" w:cstheme="minorBidi"/>
          <w:b/>
          <w:sz w:val="24"/>
          <w:szCs w:val="24"/>
        </w:rPr>
        <w:t xml:space="preserve">2.2.5.1. </w:t>
      </w:r>
      <w:r w:rsidR="00F92A53" w:rsidRPr="00F53AF4">
        <w:rPr>
          <w:rFonts w:ascii="Garamond" w:hAnsi="Garamond" w:cstheme="minorBidi"/>
          <w:b/>
          <w:sz w:val="24"/>
          <w:szCs w:val="24"/>
        </w:rPr>
        <w:t xml:space="preserve">Objetivos específicos de la estrategia La U en Tu Colegio: </w:t>
      </w:r>
    </w:p>
    <w:p w14:paraId="44BF48AC" w14:textId="77777777" w:rsidR="001961E5" w:rsidRPr="00F92A53" w:rsidRDefault="001961E5" w:rsidP="00F92A53">
      <w:pPr>
        <w:jc w:val="both"/>
        <w:rPr>
          <w:rFonts w:ascii="Garamond" w:hAnsi="Garamond" w:cstheme="minorBidi"/>
          <w:b/>
          <w:sz w:val="24"/>
          <w:szCs w:val="24"/>
          <w:u w:val="single"/>
        </w:rPr>
      </w:pPr>
    </w:p>
    <w:p w14:paraId="27CE2FBD" w14:textId="39566DD3" w:rsidR="00CE0B85" w:rsidRPr="00CE0B85" w:rsidRDefault="00F92A53" w:rsidP="0055486F">
      <w:pPr>
        <w:pStyle w:val="Prrafodelista"/>
        <w:numPr>
          <w:ilvl w:val="0"/>
          <w:numId w:val="41"/>
        </w:numPr>
        <w:jc w:val="both"/>
        <w:rPr>
          <w:rFonts w:ascii="Garamond" w:hAnsi="Garamond"/>
          <w:sz w:val="24"/>
          <w:szCs w:val="24"/>
        </w:rPr>
      </w:pPr>
      <w:r w:rsidRPr="00CE0B85">
        <w:rPr>
          <w:rFonts w:ascii="Garamond" w:hAnsi="Garamond"/>
          <w:sz w:val="24"/>
          <w:szCs w:val="24"/>
        </w:rPr>
        <w:t xml:space="preserve">Implementar programas técnicos profesionales a partir de criterios de pertinencia y calidad, que conlleven a la diversificación de la oferta en la educación media en las IED vinculadas. </w:t>
      </w:r>
    </w:p>
    <w:p w14:paraId="21ABA564" w14:textId="675E605C" w:rsidR="00CE0B85" w:rsidRPr="00CE0B85" w:rsidRDefault="00F92A53" w:rsidP="0055486F">
      <w:pPr>
        <w:pStyle w:val="Prrafodelista"/>
        <w:numPr>
          <w:ilvl w:val="0"/>
          <w:numId w:val="41"/>
        </w:numPr>
        <w:jc w:val="both"/>
        <w:rPr>
          <w:rFonts w:ascii="Garamond" w:hAnsi="Garamond"/>
          <w:sz w:val="24"/>
          <w:szCs w:val="24"/>
        </w:rPr>
      </w:pPr>
      <w:r w:rsidRPr="00CE0B85">
        <w:rPr>
          <w:rFonts w:ascii="Garamond" w:hAnsi="Garamond"/>
          <w:sz w:val="24"/>
          <w:szCs w:val="24"/>
        </w:rPr>
        <w:t xml:space="preserve">Brindar información de los programas técnicos ofertados a los jóvenes (9º a 11º) que contribuya a la toma de decisiones informadas, a partir del acompañamiento en orientación socio ocupacional que les aporte en la construcción de sus proyectos de vida. </w:t>
      </w:r>
    </w:p>
    <w:p w14:paraId="72DB55F1" w14:textId="5D412B42" w:rsidR="00CE0B85" w:rsidRPr="00CE0B85" w:rsidRDefault="00F92A53" w:rsidP="0055486F">
      <w:pPr>
        <w:pStyle w:val="Prrafodelista"/>
        <w:numPr>
          <w:ilvl w:val="0"/>
          <w:numId w:val="41"/>
        </w:numPr>
        <w:jc w:val="both"/>
        <w:rPr>
          <w:rFonts w:ascii="Garamond" w:hAnsi="Garamond"/>
          <w:sz w:val="24"/>
          <w:szCs w:val="24"/>
        </w:rPr>
      </w:pPr>
      <w:r w:rsidRPr="00CE0B85">
        <w:rPr>
          <w:rFonts w:ascii="Garamond" w:hAnsi="Garamond"/>
          <w:sz w:val="24"/>
          <w:szCs w:val="24"/>
        </w:rPr>
        <w:t xml:space="preserve">Favorecer el tránsito de los estudiantes beneficiarios en el sistema educativo educación básica a la media, así como su permanencia en los programas técnicos ofertados. </w:t>
      </w:r>
    </w:p>
    <w:p w14:paraId="03E7ED42" w14:textId="3AB089BE" w:rsidR="00CE0B85" w:rsidRPr="004B6DEE" w:rsidRDefault="00F92A53" w:rsidP="0055486F">
      <w:pPr>
        <w:pStyle w:val="Prrafodelista"/>
        <w:numPr>
          <w:ilvl w:val="0"/>
          <w:numId w:val="41"/>
        </w:numPr>
        <w:jc w:val="both"/>
        <w:rPr>
          <w:rFonts w:ascii="Garamond" w:hAnsi="Garamond"/>
          <w:sz w:val="24"/>
          <w:szCs w:val="24"/>
        </w:rPr>
      </w:pPr>
      <w:r w:rsidRPr="00CE0B85">
        <w:rPr>
          <w:rFonts w:ascii="Garamond" w:hAnsi="Garamond"/>
          <w:sz w:val="24"/>
          <w:szCs w:val="24"/>
        </w:rPr>
        <w:t>Incrementar el nivel de desarrollo de las competencias básicas de los estudiantes beneficiarios en el marco de la formación técnica profesional para favorecer el desempeño en la educación media, así como el acceso a la educación superior e inserción laboral de los estudiantes beneficiarios.</w:t>
      </w:r>
    </w:p>
    <w:p w14:paraId="261864F5" w14:textId="442717FC" w:rsidR="00F92A53" w:rsidRDefault="00BE598A" w:rsidP="00F92A53">
      <w:pPr>
        <w:jc w:val="both"/>
        <w:rPr>
          <w:rFonts w:ascii="Garamond" w:hAnsi="Garamond" w:cstheme="minorBidi"/>
          <w:b/>
          <w:bCs/>
          <w:sz w:val="24"/>
          <w:szCs w:val="24"/>
        </w:rPr>
      </w:pPr>
      <w:r>
        <w:rPr>
          <w:rFonts w:ascii="Garamond" w:hAnsi="Garamond" w:cstheme="minorBidi"/>
          <w:b/>
          <w:bCs/>
          <w:sz w:val="24"/>
          <w:szCs w:val="24"/>
        </w:rPr>
        <w:t xml:space="preserve">2.2.5.2. </w:t>
      </w:r>
      <w:r w:rsidR="00F92A53" w:rsidRPr="00F92A53">
        <w:rPr>
          <w:rFonts w:ascii="Garamond" w:hAnsi="Garamond" w:cstheme="minorBidi"/>
          <w:b/>
          <w:bCs/>
          <w:sz w:val="24"/>
          <w:szCs w:val="24"/>
        </w:rPr>
        <w:t>Ciclo operativo del Programa La U en Tu Colegio</w:t>
      </w:r>
    </w:p>
    <w:p w14:paraId="2AD004FA" w14:textId="77777777" w:rsidR="00BE598A" w:rsidRPr="00F92A53" w:rsidRDefault="00BE598A" w:rsidP="00F92A53">
      <w:pPr>
        <w:jc w:val="both"/>
        <w:rPr>
          <w:rFonts w:ascii="Garamond" w:hAnsi="Garamond" w:cstheme="minorBidi"/>
          <w:b/>
          <w:bCs/>
          <w:sz w:val="24"/>
          <w:szCs w:val="24"/>
        </w:rPr>
      </w:pPr>
    </w:p>
    <w:p w14:paraId="10E5CA2C" w14:textId="13CE066D" w:rsidR="00F92A53" w:rsidRPr="00EF2293" w:rsidRDefault="005B229E" w:rsidP="00F92A53">
      <w:pPr>
        <w:jc w:val="both"/>
        <w:rPr>
          <w:rFonts w:ascii="Garamond" w:hAnsi="Garamond" w:cstheme="minorBidi"/>
          <w:sz w:val="24"/>
          <w:szCs w:val="24"/>
        </w:rPr>
      </w:pPr>
      <w:r>
        <w:rPr>
          <w:rFonts w:ascii="Garamond" w:hAnsi="Garamond" w:cstheme="minorBidi"/>
          <w:b/>
          <w:bCs/>
          <w:sz w:val="24"/>
          <w:szCs w:val="24"/>
        </w:rPr>
        <w:t>Etapa 1 – V</w:t>
      </w:r>
      <w:r w:rsidRPr="00F92A53">
        <w:rPr>
          <w:rFonts w:ascii="Garamond" w:hAnsi="Garamond" w:cstheme="minorBidi"/>
          <w:b/>
          <w:bCs/>
          <w:sz w:val="24"/>
          <w:szCs w:val="24"/>
        </w:rPr>
        <w:t>inculación</w:t>
      </w:r>
      <w:r w:rsidR="00D26695">
        <w:rPr>
          <w:rFonts w:ascii="Garamond" w:hAnsi="Garamond" w:cstheme="minorBidi"/>
          <w:b/>
          <w:sz w:val="24"/>
          <w:szCs w:val="24"/>
        </w:rPr>
        <w:t xml:space="preserve">: </w:t>
      </w:r>
      <w:r w:rsidR="00F92A53" w:rsidRPr="00EF2293">
        <w:rPr>
          <w:rFonts w:ascii="Garamond" w:hAnsi="Garamond" w:cstheme="minorBidi"/>
          <w:sz w:val="24"/>
          <w:szCs w:val="24"/>
        </w:rPr>
        <w:t>Para el desarrollo de esta etapa, ATENEA debe haber definido la oferta de formación técnica profesional, que será ofertada para la cohorte que corresponda; esta actividad se encuentra detallada en el Lineamiento Operativo dirigido a Instituciones de Educación Superior UTC. Por su parte la SED deberá adelantar la convocatoria, selección y verificación de requisitos mínimos de las IED a vincular, así como las orientaciones para la vinculación de estudiantes beneficiarios en las IED vinculadas. En esta etapa la IES socializa con las IED la información relacionada con la oferta de TP para la cohorte, además verifican requisitos de infraestructura física y tecnológica para el desarrollo de los programas académicos y se vincula la oferta TP con los intereses de las IED.</w:t>
      </w:r>
    </w:p>
    <w:p w14:paraId="45FBFB98" w14:textId="77777777" w:rsidR="00EF2293" w:rsidRPr="00F92A53" w:rsidRDefault="00EF2293" w:rsidP="00F92A53">
      <w:pPr>
        <w:jc w:val="both"/>
        <w:rPr>
          <w:rFonts w:ascii="Garamond" w:hAnsi="Garamond" w:cstheme="minorBidi"/>
          <w:b/>
          <w:sz w:val="24"/>
          <w:szCs w:val="24"/>
        </w:rPr>
      </w:pPr>
    </w:p>
    <w:p w14:paraId="63D48BCB" w14:textId="2CE828AB" w:rsidR="00EF2293" w:rsidRDefault="00095A93" w:rsidP="00F92A53">
      <w:pPr>
        <w:jc w:val="both"/>
        <w:rPr>
          <w:rFonts w:ascii="Garamond" w:hAnsi="Garamond" w:cstheme="minorBidi"/>
          <w:sz w:val="24"/>
          <w:szCs w:val="24"/>
        </w:rPr>
      </w:pPr>
      <w:r>
        <w:rPr>
          <w:rFonts w:ascii="Garamond" w:hAnsi="Garamond" w:cstheme="minorBidi"/>
          <w:b/>
          <w:bCs/>
          <w:sz w:val="24"/>
          <w:szCs w:val="24"/>
        </w:rPr>
        <w:t>E</w:t>
      </w:r>
      <w:r w:rsidR="001C5F3C">
        <w:rPr>
          <w:rFonts w:ascii="Garamond" w:hAnsi="Garamond" w:cstheme="minorBidi"/>
          <w:b/>
          <w:bCs/>
          <w:sz w:val="24"/>
          <w:szCs w:val="24"/>
        </w:rPr>
        <w:t>tapa 2 – A</w:t>
      </w:r>
      <w:r w:rsidRPr="00F92A53">
        <w:rPr>
          <w:rFonts w:ascii="Garamond" w:hAnsi="Garamond" w:cstheme="minorBidi"/>
          <w:b/>
          <w:bCs/>
          <w:sz w:val="24"/>
          <w:szCs w:val="24"/>
        </w:rPr>
        <w:t>listamiento</w:t>
      </w:r>
      <w:r>
        <w:rPr>
          <w:rFonts w:ascii="Garamond" w:hAnsi="Garamond" w:cstheme="minorBidi"/>
          <w:b/>
          <w:sz w:val="24"/>
          <w:szCs w:val="24"/>
        </w:rPr>
        <w:t xml:space="preserve">: </w:t>
      </w:r>
      <w:r w:rsidR="00F92A53" w:rsidRPr="00EF2293">
        <w:rPr>
          <w:rFonts w:ascii="Garamond" w:hAnsi="Garamond" w:cstheme="minorBidi"/>
          <w:sz w:val="24"/>
          <w:szCs w:val="24"/>
        </w:rPr>
        <w:t>En esta etapa se desarrollan todas las actividades necesarias para el inicio de la formación técnica profesional de los estudiantes beneficiarios en el programa al cual se han vinculado. Incluye actividades de orientación socio ocupacional con estudiantes de grado noveno, socialización de la estrategia con los diversos actores, elaboración del plan de trabajo del semestre IES - IED y las jornadas de apertura. Durante esta etapa las IES deben realizar la evaluación y nivelación de los estudiantes beneficiarios, compuesto de las siguientes etapas:</w:t>
      </w:r>
    </w:p>
    <w:p w14:paraId="5A89B22E" w14:textId="40003A97" w:rsidR="00F92A53" w:rsidRPr="00EF2293" w:rsidRDefault="00F92A53" w:rsidP="00F92A53">
      <w:pPr>
        <w:jc w:val="both"/>
        <w:rPr>
          <w:rFonts w:ascii="Garamond" w:hAnsi="Garamond" w:cstheme="minorBidi"/>
          <w:sz w:val="24"/>
          <w:szCs w:val="24"/>
        </w:rPr>
      </w:pPr>
      <w:r w:rsidRPr="00EF2293">
        <w:rPr>
          <w:rFonts w:ascii="Garamond" w:hAnsi="Garamond" w:cstheme="minorBidi"/>
          <w:sz w:val="24"/>
          <w:szCs w:val="24"/>
        </w:rPr>
        <w:t xml:space="preserve"> </w:t>
      </w:r>
    </w:p>
    <w:p w14:paraId="68A50477" w14:textId="77777777" w:rsidR="00EF2293" w:rsidRDefault="00F92A53" w:rsidP="0055486F">
      <w:pPr>
        <w:pStyle w:val="Prrafodelista"/>
        <w:numPr>
          <w:ilvl w:val="0"/>
          <w:numId w:val="42"/>
        </w:numPr>
        <w:jc w:val="both"/>
        <w:rPr>
          <w:rFonts w:ascii="Garamond" w:hAnsi="Garamond"/>
          <w:sz w:val="24"/>
          <w:szCs w:val="24"/>
        </w:rPr>
      </w:pPr>
      <w:r w:rsidRPr="00EF2293">
        <w:rPr>
          <w:rFonts w:ascii="Garamond" w:hAnsi="Garamond"/>
          <w:sz w:val="24"/>
          <w:szCs w:val="24"/>
        </w:rPr>
        <w:t xml:space="preserve">Se realiza una prueba diagnóstica. </w:t>
      </w:r>
    </w:p>
    <w:p w14:paraId="13EE5EA4" w14:textId="77777777" w:rsidR="00EF2293" w:rsidRDefault="00F92A53" w:rsidP="0055486F">
      <w:pPr>
        <w:pStyle w:val="Prrafodelista"/>
        <w:numPr>
          <w:ilvl w:val="0"/>
          <w:numId w:val="42"/>
        </w:numPr>
        <w:jc w:val="both"/>
        <w:rPr>
          <w:rFonts w:ascii="Garamond" w:hAnsi="Garamond"/>
          <w:sz w:val="24"/>
          <w:szCs w:val="24"/>
        </w:rPr>
      </w:pPr>
      <w:r w:rsidRPr="00EF2293">
        <w:rPr>
          <w:rFonts w:ascii="Garamond" w:hAnsi="Garamond"/>
          <w:sz w:val="24"/>
          <w:szCs w:val="24"/>
        </w:rPr>
        <w:lastRenderedPageBreak/>
        <w:t xml:space="preserve">Se implementa un curso de fortalecimiento de aprendizajes que le permita a los estudiantes potenciar las competencias básicas requeridas para la formación y para la interacción con los entornos digitales requeridos para el desarrollo del programa técnico. </w:t>
      </w:r>
    </w:p>
    <w:p w14:paraId="7A6B8BAD" w14:textId="48C6F694" w:rsidR="00F92A53" w:rsidRPr="00EF2293" w:rsidRDefault="00F92A53" w:rsidP="0055486F">
      <w:pPr>
        <w:pStyle w:val="Prrafodelista"/>
        <w:numPr>
          <w:ilvl w:val="0"/>
          <w:numId w:val="42"/>
        </w:numPr>
        <w:jc w:val="both"/>
        <w:rPr>
          <w:rFonts w:ascii="Garamond" w:hAnsi="Garamond"/>
          <w:sz w:val="24"/>
          <w:szCs w:val="24"/>
        </w:rPr>
      </w:pPr>
      <w:r w:rsidRPr="00EF2293">
        <w:rPr>
          <w:rFonts w:ascii="Garamond" w:hAnsi="Garamond"/>
          <w:sz w:val="24"/>
          <w:szCs w:val="24"/>
        </w:rPr>
        <w:t>A la terminación del curso se realiza una prueba final (pos) antes del inicio de la formación TP que permita medir los cambios y mejoras generadas por esta actividad de fortalecimiento de aprendizajes.</w:t>
      </w:r>
    </w:p>
    <w:p w14:paraId="0ADA665C" w14:textId="74ADBDC8" w:rsidR="00F92A53" w:rsidRDefault="002A447B" w:rsidP="00F92A53">
      <w:pPr>
        <w:jc w:val="both"/>
        <w:rPr>
          <w:rFonts w:ascii="Garamond" w:hAnsi="Garamond" w:cstheme="minorBidi"/>
          <w:sz w:val="24"/>
          <w:szCs w:val="24"/>
        </w:rPr>
      </w:pPr>
      <w:r>
        <w:rPr>
          <w:rFonts w:ascii="Garamond" w:hAnsi="Garamond" w:cstheme="minorBidi"/>
          <w:b/>
          <w:bCs/>
          <w:sz w:val="24"/>
          <w:szCs w:val="24"/>
        </w:rPr>
        <w:t>E</w:t>
      </w:r>
      <w:r w:rsidRPr="00F92A53">
        <w:rPr>
          <w:rFonts w:ascii="Garamond" w:hAnsi="Garamond" w:cstheme="minorBidi"/>
          <w:b/>
          <w:bCs/>
          <w:sz w:val="24"/>
          <w:szCs w:val="24"/>
        </w:rPr>
        <w:t xml:space="preserve">tapa 3 </w:t>
      </w:r>
      <w:r>
        <w:rPr>
          <w:rFonts w:ascii="Garamond" w:hAnsi="Garamond" w:cstheme="minorBidi"/>
          <w:b/>
          <w:bCs/>
          <w:sz w:val="24"/>
          <w:szCs w:val="24"/>
        </w:rPr>
        <w:t>– F</w:t>
      </w:r>
      <w:r w:rsidRPr="00F92A53">
        <w:rPr>
          <w:rFonts w:ascii="Garamond" w:hAnsi="Garamond" w:cstheme="minorBidi"/>
          <w:b/>
          <w:bCs/>
          <w:sz w:val="24"/>
          <w:szCs w:val="24"/>
        </w:rPr>
        <w:t>ormación</w:t>
      </w:r>
      <w:r w:rsidR="00721016">
        <w:rPr>
          <w:rFonts w:ascii="Garamond" w:hAnsi="Garamond" w:cstheme="minorBidi"/>
          <w:b/>
          <w:sz w:val="24"/>
          <w:szCs w:val="24"/>
        </w:rPr>
        <w:t xml:space="preserve">: </w:t>
      </w:r>
      <w:r w:rsidR="00F92A53" w:rsidRPr="00EF2293">
        <w:rPr>
          <w:rFonts w:ascii="Garamond" w:hAnsi="Garamond" w:cstheme="minorBidi"/>
          <w:sz w:val="24"/>
          <w:szCs w:val="24"/>
        </w:rPr>
        <w:t xml:space="preserve">Es la esencia de la estrategia; hace referencia a la formación técnica profesional de los estudiantes que se realizará en máximo cuatro semestres. Su implementación requiere que tanto las IED como la IES estén alineadas para brindar un plan de formación estructurado a los estudiantes beneficiarios. Está conformada por un conjunto de estrategias pedagógicas, metodológicas y administrativas que, en articulación con la educación media y en un marco de calidad y pertinencia, permiten el desarrollo de la formación técnica profesional de los estudiantes vinculados a la estrategia. Ahora bien, resulta pertinente mencionar que UTC se desarrolla con estudiantes de educación media que se encuentren cursando grado 10° y que no cursen de manera simultánea líneas de profundización, programas SENA u otros que les impiden disponer de los tiempos requeridos por el programa TP seleccionado y que les genere sobrecarga académica. </w:t>
      </w:r>
    </w:p>
    <w:p w14:paraId="075E12E2" w14:textId="77777777" w:rsidR="00EF2293" w:rsidRPr="00EF2293" w:rsidRDefault="00EF2293" w:rsidP="00F92A53">
      <w:pPr>
        <w:jc w:val="both"/>
        <w:rPr>
          <w:rFonts w:ascii="Garamond" w:hAnsi="Garamond" w:cstheme="minorBidi"/>
          <w:sz w:val="24"/>
          <w:szCs w:val="24"/>
        </w:rPr>
      </w:pPr>
    </w:p>
    <w:p w14:paraId="77958A4C" w14:textId="6F65D100" w:rsidR="00F92A53" w:rsidRDefault="00F92A53" w:rsidP="00F92A53">
      <w:pPr>
        <w:jc w:val="both"/>
        <w:rPr>
          <w:rFonts w:ascii="Garamond" w:hAnsi="Garamond" w:cstheme="minorBidi"/>
          <w:b/>
          <w:sz w:val="24"/>
          <w:szCs w:val="24"/>
        </w:rPr>
      </w:pPr>
      <w:r w:rsidRPr="00F92A53">
        <w:rPr>
          <w:rFonts w:ascii="Garamond" w:hAnsi="Garamond" w:cstheme="minorBidi"/>
          <w:b/>
          <w:sz w:val="24"/>
          <w:szCs w:val="24"/>
        </w:rPr>
        <w:t xml:space="preserve">La estrategia La U en Tu Colegio UTC, despliega los siguientes componentes adicionales a las actividades de formación técnica profesional: </w:t>
      </w:r>
    </w:p>
    <w:p w14:paraId="300FEA0E" w14:textId="77777777" w:rsidR="00E54C6D" w:rsidRPr="00F92A53" w:rsidRDefault="00E54C6D" w:rsidP="00F92A53">
      <w:pPr>
        <w:jc w:val="both"/>
        <w:rPr>
          <w:rFonts w:ascii="Garamond" w:hAnsi="Garamond" w:cstheme="minorBidi"/>
          <w:b/>
          <w:sz w:val="24"/>
          <w:szCs w:val="24"/>
        </w:rPr>
      </w:pPr>
    </w:p>
    <w:p w14:paraId="01B54BF6" w14:textId="77777777" w:rsidR="00827C2A" w:rsidRPr="00827C2A" w:rsidRDefault="00827C2A" w:rsidP="0055486F">
      <w:pPr>
        <w:pStyle w:val="Prrafodelista"/>
        <w:numPr>
          <w:ilvl w:val="0"/>
          <w:numId w:val="30"/>
        </w:numPr>
        <w:jc w:val="both"/>
        <w:rPr>
          <w:rFonts w:ascii="Garamond" w:hAnsi="Garamond"/>
          <w:sz w:val="24"/>
          <w:szCs w:val="24"/>
        </w:rPr>
      </w:pPr>
      <w:r w:rsidRPr="00827C2A">
        <w:rPr>
          <w:rFonts w:ascii="Garamond" w:hAnsi="Garamond"/>
          <w:sz w:val="24"/>
          <w:szCs w:val="24"/>
        </w:rPr>
        <w:t>Orientación socio ocupacional</w:t>
      </w:r>
    </w:p>
    <w:p w14:paraId="489358BE" w14:textId="77777777" w:rsidR="00827C2A" w:rsidRPr="00827C2A" w:rsidRDefault="00F92A53" w:rsidP="0055486F">
      <w:pPr>
        <w:pStyle w:val="Prrafodelista"/>
        <w:numPr>
          <w:ilvl w:val="0"/>
          <w:numId w:val="30"/>
        </w:numPr>
        <w:jc w:val="both"/>
        <w:rPr>
          <w:rFonts w:ascii="Garamond" w:hAnsi="Garamond"/>
          <w:sz w:val="24"/>
          <w:szCs w:val="24"/>
        </w:rPr>
      </w:pPr>
      <w:r w:rsidRPr="00827C2A">
        <w:rPr>
          <w:rFonts w:ascii="Garamond" w:hAnsi="Garamond"/>
          <w:sz w:val="24"/>
          <w:szCs w:val="24"/>
        </w:rPr>
        <w:t xml:space="preserve">Fortalecimiento de aprendizajes </w:t>
      </w:r>
    </w:p>
    <w:p w14:paraId="271249FB" w14:textId="449FC29C" w:rsidR="00827C2A" w:rsidRPr="00827C2A" w:rsidRDefault="00F92A53" w:rsidP="0055486F">
      <w:pPr>
        <w:pStyle w:val="Prrafodelista"/>
        <w:numPr>
          <w:ilvl w:val="0"/>
          <w:numId w:val="30"/>
        </w:numPr>
        <w:jc w:val="both"/>
        <w:rPr>
          <w:rFonts w:ascii="Garamond" w:hAnsi="Garamond"/>
          <w:sz w:val="24"/>
          <w:szCs w:val="24"/>
        </w:rPr>
      </w:pPr>
      <w:r w:rsidRPr="00827C2A">
        <w:rPr>
          <w:rFonts w:ascii="Garamond" w:hAnsi="Garamond"/>
          <w:sz w:val="24"/>
          <w:szCs w:val="24"/>
        </w:rPr>
        <w:t>Sesio</w:t>
      </w:r>
      <w:r w:rsidR="00827C2A" w:rsidRPr="00827C2A">
        <w:rPr>
          <w:rFonts w:ascii="Garamond" w:hAnsi="Garamond"/>
          <w:sz w:val="24"/>
          <w:szCs w:val="24"/>
        </w:rPr>
        <w:t>nes de armonización curricular</w:t>
      </w:r>
    </w:p>
    <w:p w14:paraId="7393574C" w14:textId="6A56E935" w:rsidR="00F92A53" w:rsidRPr="00827C2A" w:rsidRDefault="00F92A53" w:rsidP="0055486F">
      <w:pPr>
        <w:pStyle w:val="Prrafodelista"/>
        <w:numPr>
          <w:ilvl w:val="0"/>
          <w:numId w:val="30"/>
        </w:numPr>
        <w:jc w:val="both"/>
        <w:rPr>
          <w:rFonts w:ascii="Garamond" w:hAnsi="Garamond"/>
          <w:sz w:val="24"/>
          <w:szCs w:val="24"/>
        </w:rPr>
      </w:pPr>
      <w:r w:rsidRPr="00827C2A">
        <w:rPr>
          <w:rFonts w:ascii="Garamond" w:hAnsi="Garamond"/>
          <w:sz w:val="24"/>
          <w:szCs w:val="24"/>
        </w:rPr>
        <w:t>Seguimiento a la formación</w:t>
      </w:r>
    </w:p>
    <w:p w14:paraId="00622637" w14:textId="48AB876A" w:rsidR="00F92A53" w:rsidRPr="00827C2A" w:rsidRDefault="00F92A53" w:rsidP="00F92A53">
      <w:pPr>
        <w:jc w:val="both"/>
        <w:rPr>
          <w:rFonts w:ascii="Garamond" w:hAnsi="Garamond" w:cstheme="minorBidi"/>
          <w:sz w:val="24"/>
          <w:szCs w:val="24"/>
        </w:rPr>
      </w:pPr>
      <w:r w:rsidRPr="00827C2A">
        <w:rPr>
          <w:rFonts w:ascii="Garamond" w:hAnsi="Garamond" w:cstheme="minorBidi"/>
          <w:sz w:val="24"/>
          <w:szCs w:val="24"/>
        </w:rPr>
        <w:t xml:space="preserve">Por otra parte, los estudiantes que deseen pertenecer a UTC deberán tener mínimo 14 años y medio al inicio de su formación con la finalidad que al finalizar el programa TP que cursaron tengan 16 años cumplidos. Lo anterior en cumplimiento de lo establecido en el artículo 7 de la Ley 749 de 2002. Los programas TP ofertados por la IES se deben destacar por el desarrollo de aprendizajes teórico-prácticos, mediados por pedagogías activas que integran conocimientos científicos, tecnológicos y técnicos, así como acciones de armonización curricular y fortalecimiento de aprendizajes que favorecen el desarrollo de competencias de los estudiantes beneficiarios. </w:t>
      </w:r>
    </w:p>
    <w:p w14:paraId="7776DAC0" w14:textId="77777777" w:rsidR="00827C2A" w:rsidRPr="00827C2A" w:rsidRDefault="00827C2A" w:rsidP="00F92A53">
      <w:pPr>
        <w:jc w:val="both"/>
        <w:rPr>
          <w:rFonts w:ascii="Garamond" w:hAnsi="Garamond" w:cstheme="minorBidi"/>
          <w:sz w:val="24"/>
          <w:szCs w:val="24"/>
        </w:rPr>
      </w:pPr>
    </w:p>
    <w:p w14:paraId="5060AAC6" w14:textId="330C405A" w:rsidR="00F92A53" w:rsidRDefault="00F92A53" w:rsidP="00F92A53">
      <w:pPr>
        <w:jc w:val="both"/>
        <w:rPr>
          <w:rFonts w:ascii="Garamond" w:hAnsi="Garamond" w:cstheme="minorBidi"/>
          <w:sz w:val="24"/>
          <w:szCs w:val="24"/>
        </w:rPr>
      </w:pPr>
      <w:r w:rsidRPr="00827C2A">
        <w:rPr>
          <w:rFonts w:ascii="Garamond" w:hAnsi="Garamond" w:cstheme="minorBidi"/>
          <w:sz w:val="24"/>
          <w:szCs w:val="24"/>
        </w:rPr>
        <w:t xml:space="preserve">Las IES, además de desarrollar la formación técnica profesional, deben ofrecer acciones complementarias focalizadas a prevenir la deserción que se llevarán a cabo cada semestre. Estas actividades complementarias responden a las necesidades e intereses de los estudiantes vinculados en los programas de formación, procurando el fortalecimiento de las habilidades para la vida, y aquellas </w:t>
      </w:r>
      <w:r w:rsidRPr="00827C2A">
        <w:rPr>
          <w:rFonts w:ascii="Garamond" w:hAnsi="Garamond" w:cstheme="minorBidi"/>
          <w:sz w:val="24"/>
          <w:szCs w:val="24"/>
        </w:rPr>
        <w:lastRenderedPageBreak/>
        <w:t>habilidades que les permitirán a los estudiantes beneficiarios, afrontar los retos que trae el siglo XXI y la cuarta revolución industrial.</w:t>
      </w:r>
    </w:p>
    <w:p w14:paraId="780D96E8" w14:textId="77777777" w:rsidR="00827C2A" w:rsidRPr="00827C2A" w:rsidRDefault="00827C2A" w:rsidP="00F92A53">
      <w:pPr>
        <w:jc w:val="both"/>
        <w:rPr>
          <w:rFonts w:ascii="Garamond" w:hAnsi="Garamond" w:cstheme="minorBidi"/>
          <w:sz w:val="24"/>
          <w:szCs w:val="24"/>
        </w:rPr>
      </w:pPr>
    </w:p>
    <w:p w14:paraId="278460DF" w14:textId="791FE622" w:rsidR="00F92A53" w:rsidRPr="00827C2A" w:rsidRDefault="00F92A53" w:rsidP="00F92A53">
      <w:pPr>
        <w:jc w:val="both"/>
        <w:rPr>
          <w:rFonts w:ascii="Garamond" w:hAnsi="Garamond" w:cstheme="minorBidi"/>
          <w:sz w:val="24"/>
          <w:szCs w:val="24"/>
        </w:rPr>
      </w:pPr>
      <w:r w:rsidRPr="00827C2A">
        <w:rPr>
          <w:rFonts w:ascii="Garamond" w:hAnsi="Garamond" w:cstheme="minorBidi"/>
          <w:b/>
          <w:bCs/>
          <w:sz w:val="24"/>
          <w:szCs w:val="24"/>
        </w:rPr>
        <w:t>ETAPA 4 – BALANCE Y CIERRE</w:t>
      </w:r>
      <w:r w:rsidR="00827C2A">
        <w:rPr>
          <w:rFonts w:ascii="Garamond" w:hAnsi="Garamond" w:cstheme="minorBidi"/>
          <w:sz w:val="24"/>
          <w:szCs w:val="24"/>
        </w:rPr>
        <w:t xml:space="preserve">: </w:t>
      </w:r>
      <w:r w:rsidRPr="00827C2A">
        <w:rPr>
          <w:rFonts w:ascii="Garamond" w:hAnsi="Garamond" w:cstheme="minorBidi"/>
          <w:sz w:val="24"/>
          <w:szCs w:val="24"/>
        </w:rPr>
        <w:t>Esta etapa incluye las actividades que deben llevarse a cabo tanto al finalizar cada semestre académico, como al completar el total de actividades que comprende la formación de los estudiantes beneficiarios; es decir, hasta que obtienen su título como técnicos o hasta que se cumple el plazo estipulado en el convenio para la ejecución de la estrategia. Además, incluye una evaluación, desde la perspectiva de la IES, del desarrollo de la estrategia en cada momento (fin de semestre y fin de la formación).</w:t>
      </w:r>
    </w:p>
    <w:p w14:paraId="1C85254E" w14:textId="77777777" w:rsidR="00F92A53" w:rsidRPr="00F92A53" w:rsidRDefault="00F92A53" w:rsidP="00F92A53">
      <w:pPr>
        <w:jc w:val="both"/>
        <w:rPr>
          <w:rFonts w:ascii="Garamond" w:hAnsi="Garamond" w:cstheme="minorBidi"/>
          <w:b/>
          <w:sz w:val="24"/>
          <w:szCs w:val="24"/>
        </w:rPr>
      </w:pPr>
    </w:p>
    <w:p w14:paraId="3AF4D018" w14:textId="6BA692BA" w:rsidR="00F92A53" w:rsidRPr="00CD2D1E" w:rsidRDefault="00F92A53" w:rsidP="0055486F">
      <w:pPr>
        <w:pStyle w:val="Prrafodelista"/>
        <w:numPr>
          <w:ilvl w:val="2"/>
          <w:numId w:val="40"/>
        </w:numPr>
        <w:jc w:val="both"/>
        <w:rPr>
          <w:rFonts w:ascii="Garamond" w:hAnsi="Garamond"/>
          <w:b/>
          <w:bCs/>
          <w:sz w:val="24"/>
          <w:szCs w:val="24"/>
        </w:rPr>
      </w:pPr>
      <w:r w:rsidRPr="00CD2D1E">
        <w:rPr>
          <w:rFonts w:ascii="Garamond" w:hAnsi="Garamond"/>
          <w:b/>
          <w:bCs/>
          <w:sz w:val="24"/>
          <w:szCs w:val="24"/>
        </w:rPr>
        <w:t>TALENTO CAPITAL FORMACIÓN</w:t>
      </w:r>
    </w:p>
    <w:p w14:paraId="15092514" w14:textId="6C596C98" w:rsidR="00F92A53" w:rsidRDefault="00F92A53" w:rsidP="00F92A53">
      <w:pPr>
        <w:jc w:val="both"/>
        <w:rPr>
          <w:rFonts w:ascii="Garamond" w:hAnsi="Garamond" w:cstheme="minorBidi"/>
          <w:sz w:val="24"/>
          <w:szCs w:val="24"/>
        </w:rPr>
      </w:pPr>
      <w:r w:rsidRPr="004A25B4">
        <w:rPr>
          <w:rFonts w:ascii="Garamond" w:hAnsi="Garamond" w:cstheme="minorBidi"/>
          <w:sz w:val="24"/>
          <w:szCs w:val="24"/>
        </w:rPr>
        <w:t>Talento Capital Formación, es un programa desarrollado por la Agencia Atenea el cual busca aportar al cierre de brechas de talento humano, a partir del fortalecimiento de habilidades, conocimientos y competencias y su certificación a través cursos de formación de ciclo corto en el marco de la educación informal. Lo anterior, para contribuir al mejoramiento del perfil ocupacional de las personas. Su objetivo está orientado en fomentar trayectorias educativas pertinentes para la demanda del talento humano y las necesidades del sector productivo, contribuyendo al acceso de las personas a mejores ingresos, empleo y emprendimiento de calidad, con énfasis en sectores económicos y ocupaciones estratégicos para el desarrollo de la ciudad.</w:t>
      </w:r>
    </w:p>
    <w:p w14:paraId="3DA7F51C" w14:textId="77777777" w:rsidR="00682337" w:rsidRPr="004A25B4" w:rsidRDefault="00682337" w:rsidP="00F92A53">
      <w:pPr>
        <w:jc w:val="both"/>
        <w:rPr>
          <w:rFonts w:ascii="Garamond" w:hAnsi="Garamond" w:cstheme="minorBidi"/>
          <w:sz w:val="24"/>
          <w:szCs w:val="24"/>
          <w:lang w:val="es-ES"/>
        </w:rPr>
      </w:pPr>
    </w:p>
    <w:p w14:paraId="1AE026E4" w14:textId="0E95D085" w:rsidR="00F92A53" w:rsidRDefault="00F92A53" w:rsidP="00F92A53">
      <w:pPr>
        <w:jc w:val="both"/>
        <w:rPr>
          <w:rFonts w:ascii="Garamond" w:hAnsi="Garamond" w:cstheme="minorBidi"/>
          <w:sz w:val="24"/>
          <w:szCs w:val="24"/>
        </w:rPr>
      </w:pPr>
      <w:r w:rsidRPr="004A25B4">
        <w:rPr>
          <w:rFonts w:ascii="Garamond" w:hAnsi="Garamond" w:cstheme="minorBidi"/>
          <w:sz w:val="24"/>
          <w:szCs w:val="24"/>
        </w:rPr>
        <w:t xml:space="preserve">En ese sentido, este programa se convierte en un esfuerzo aunado de distintos sectores para avanzar en la implementación de un modelo de acceso y permanencia en la educación posmedia, en el que se incluya la educación formal e informal como herramienta para satisfacer las necesidades de desarrollo de las capacidades del talento humano en los diversos sectores productivos del Distrito. Así mismo, la Agencia Atenea a través de este programa asociado al fortalecimiento de habilidades y conocimientos está alineado desde el planteamiento del Plan Distrital de Desarrollo 2024 a 2027 “Bogotá Camina Segura” el cual desde su objetivo general parte de la construcción de confianza, buscando mejorar la calidad de vida de las personas, garantizándoles mayor seguridad, inclusión, libertad e igualdad, fortaleciendo el tejido social. </w:t>
      </w:r>
    </w:p>
    <w:p w14:paraId="246D4833" w14:textId="77777777" w:rsidR="004A25B4" w:rsidRPr="004A25B4" w:rsidRDefault="004A25B4" w:rsidP="00F92A53">
      <w:pPr>
        <w:jc w:val="both"/>
        <w:rPr>
          <w:rFonts w:ascii="Garamond" w:hAnsi="Garamond" w:cstheme="minorBidi"/>
          <w:sz w:val="24"/>
          <w:szCs w:val="24"/>
        </w:rPr>
      </w:pPr>
    </w:p>
    <w:p w14:paraId="2440BC44" w14:textId="7632ADE0" w:rsidR="00F92A53" w:rsidRDefault="00F92A53" w:rsidP="00F92A53">
      <w:pPr>
        <w:jc w:val="both"/>
        <w:rPr>
          <w:rFonts w:ascii="Garamond" w:hAnsi="Garamond" w:cstheme="minorBidi"/>
          <w:sz w:val="24"/>
          <w:szCs w:val="24"/>
        </w:rPr>
      </w:pPr>
      <w:r w:rsidRPr="004A25B4">
        <w:rPr>
          <w:rFonts w:ascii="Garamond" w:hAnsi="Garamond" w:cstheme="minorBidi"/>
          <w:sz w:val="24"/>
          <w:szCs w:val="24"/>
        </w:rPr>
        <w:t>Con el programa de Talento Capital Formación, se busca aportar al tercer objetivo demarcado en el plan de desarrollo distrital, definido como Bogotá Confía en su Potencial, donde se promueve la generación de estrategias para los programas: Formación para el trabajo y acceso a oportunidades educativas, Ciencia, tecnología e innovación (CTel) para desarrollar nuestro potencial y promover el de nuestros vecinos regionales, Desarrollo empresarial, productividad y empleo y Promoción del emprendimiento formal, equitativo e incluyente.</w:t>
      </w:r>
    </w:p>
    <w:p w14:paraId="114550BB" w14:textId="77777777" w:rsidR="004A25B4" w:rsidRPr="004A25B4" w:rsidRDefault="004A25B4" w:rsidP="00F92A53">
      <w:pPr>
        <w:jc w:val="both"/>
        <w:rPr>
          <w:rFonts w:ascii="Garamond" w:hAnsi="Garamond" w:cstheme="minorBidi"/>
          <w:sz w:val="24"/>
          <w:szCs w:val="24"/>
        </w:rPr>
      </w:pPr>
    </w:p>
    <w:p w14:paraId="05120FDD" w14:textId="2F18012D" w:rsidR="004A25B4" w:rsidRDefault="00F92A53" w:rsidP="00F92A53">
      <w:pPr>
        <w:jc w:val="both"/>
        <w:rPr>
          <w:rFonts w:ascii="Garamond" w:hAnsi="Garamond" w:cstheme="minorBidi"/>
          <w:sz w:val="24"/>
          <w:szCs w:val="24"/>
        </w:rPr>
      </w:pPr>
      <w:r w:rsidRPr="004A25B4">
        <w:rPr>
          <w:rFonts w:ascii="Garamond" w:hAnsi="Garamond" w:cstheme="minorBidi"/>
          <w:sz w:val="24"/>
          <w:szCs w:val="24"/>
        </w:rPr>
        <w:lastRenderedPageBreak/>
        <w:t>También contempla la importancia que el sistema de posmedia incluya programas específicos dirigidos a Jóvenes con Potencial, como es el caso del Programa “Jóvenes con Oportunidades”, el cual es desarrollado por la Secretaría Distrital de Integración Social (SDIS), en articulación con la Secretaria de Desarrollo Económico, la Secretaría de Educación del Distrito, y la Agencia Atenea, con el fin de brindar apoyo para facilitar su ingreso al sistema educativo y formativo y promover su empleabilidad. Esta apuesta estratégica del Distrito incluye acciones complementarias que se enfocan en la inclusión social y productiva de estos jóvenes, proporcionando espacios adecuados para desarrollar su potencial, que incluye, procesos paralelos de orientación psicosocial e inteligencia emocional, fundamentales para prevenir la deserción educativa y el desempleo.</w:t>
      </w:r>
    </w:p>
    <w:p w14:paraId="46F1ECF2" w14:textId="77777777" w:rsidR="001E195B" w:rsidRPr="004A25B4" w:rsidRDefault="001E195B" w:rsidP="00F92A53">
      <w:pPr>
        <w:jc w:val="both"/>
        <w:rPr>
          <w:rFonts w:ascii="Garamond" w:hAnsi="Garamond" w:cstheme="minorBidi"/>
          <w:sz w:val="24"/>
          <w:szCs w:val="24"/>
        </w:rPr>
      </w:pPr>
    </w:p>
    <w:p w14:paraId="609986D3" w14:textId="5DC1F5CD" w:rsidR="00F92A53" w:rsidRPr="004A25B4" w:rsidRDefault="00F92A53" w:rsidP="0055486F">
      <w:pPr>
        <w:pStyle w:val="Prrafodelista"/>
        <w:numPr>
          <w:ilvl w:val="3"/>
          <w:numId w:val="43"/>
        </w:numPr>
        <w:jc w:val="both"/>
        <w:rPr>
          <w:rFonts w:ascii="Garamond" w:hAnsi="Garamond"/>
          <w:b/>
          <w:bCs/>
          <w:sz w:val="24"/>
          <w:szCs w:val="24"/>
        </w:rPr>
      </w:pPr>
      <w:r w:rsidRPr="004A25B4">
        <w:rPr>
          <w:rFonts w:ascii="Garamond" w:hAnsi="Garamond"/>
          <w:b/>
          <w:bCs/>
          <w:sz w:val="24"/>
          <w:szCs w:val="24"/>
        </w:rPr>
        <w:t>Ciclo operativo del Programa Talento Capital</w:t>
      </w:r>
    </w:p>
    <w:p w14:paraId="7CD6444F" w14:textId="2CDDE3B7" w:rsidR="00F92A53" w:rsidRDefault="00F92A53" w:rsidP="00F92A53">
      <w:pPr>
        <w:jc w:val="both"/>
        <w:rPr>
          <w:rFonts w:ascii="Garamond" w:hAnsi="Garamond" w:cstheme="minorBidi"/>
          <w:sz w:val="24"/>
          <w:szCs w:val="24"/>
        </w:rPr>
      </w:pPr>
      <w:r w:rsidRPr="004A25B4">
        <w:rPr>
          <w:rFonts w:ascii="Garamond" w:hAnsi="Garamond" w:cstheme="minorBidi"/>
          <w:sz w:val="24"/>
          <w:szCs w:val="24"/>
        </w:rPr>
        <w:t xml:space="preserve">El ciclo operativo de Talento Capital Formación se estructura en una secuencia de seis fases interrelacionadas que buscan garantizar una gestión eficiente y efectiva en los procesos de formación y desarrollo de talento. Inicia con la identificación de la necesidad, donde se reconocen los sectores a fortalecer; seguido de la selección de oferentes u operadores de formación, asegurando calidad en los servicios. Posteriormente, se realiza la convocatoria, inscripción y selección de los participantes, continuando con la formalización y enrolamiento en las plataformas de aprendizaje. La formación constituye el núcleo del proceso, cerrando con la evaluación y cierre del proceso formativo. Este ciclo está respaldado por estrategias de comunicación y conexión con el sector real, así como por un riguroso seguimiento, monitoreo y control, lo que garantiza su alineación con las necesidades del entorno productivo y laboral. </w:t>
      </w:r>
    </w:p>
    <w:p w14:paraId="21D98DA3" w14:textId="77777777" w:rsidR="00415077" w:rsidRPr="004A25B4" w:rsidRDefault="00415077" w:rsidP="00F92A53">
      <w:pPr>
        <w:jc w:val="both"/>
        <w:rPr>
          <w:rFonts w:ascii="Garamond" w:hAnsi="Garamond" w:cstheme="minorBidi"/>
          <w:sz w:val="24"/>
          <w:szCs w:val="24"/>
        </w:rPr>
      </w:pPr>
    </w:p>
    <w:p w14:paraId="7D3C66A6" w14:textId="77777777" w:rsidR="00415077" w:rsidRDefault="00F92A53" w:rsidP="0055486F">
      <w:pPr>
        <w:pStyle w:val="Prrafodelista"/>
        <w:numPr>
          <w:ilvl w:val="0"/>
          <w:numId w:val="9"/>
        </w:numPr>
        <w:jc w:val="both"/>
        <w:rPr>
          <w:rFonts w:ascii="Garamond" w:hAnsi="Garamond"/>
          <w:sz w:val="24"/>
          <w:szCs w:val="24"/>
        </w:rPr>
      </w:pPr>
      <w:r w:rsidRPr="00415077">
        <w:rPr>
          <w:rFonts w:ascii="Garamond" w:hAnsi="Garamond"/>
          <w:b/>
          <w:bCs/>
          <w:sz w:val="24"/>
          <w:szCs w:val="24"/>
        </w:rPr>
        <w:t>Etapa 1:</w:t>
      </w:r>
      <w:r w:rsidRPr="00415077">
        <w:rPr>
          <w:rFonts w:ascii="Garamond" w:hAnsi="Garamond"/>
          <w:bCs/>
          <w:sz w:val="24"/>
          <w:szCs w:val="24"/>
        </w:rPr>
        <w:t xml:space="preserve"> Identificación de la necesidad.</w:t>
      </w:r>
      <w:r w:rsidRPr="00415077">
        <w:rPr>
          <w:rFonts w:ascii="Garamond" w:hAnsi="Garamond"/>
          <w:sz w:val="24"/>
          <w:szCs w:val="24"/>
        </w:rPr>
        <w:t xml:space="preserve"> A partir de los datos, las tendencias del mercado laboral y el sector real, así como, del análisis de la literatura, se identifica el sector y los subsectores con mayor potencial de crecimiento para priorizar la oferta formativa. Partiendo de la identificación de las habilidades, conocimientos, competencias y certificaciones demandadas, se genera la propuesta de oferta formativa de ciclo corto de manera preliminar. Lo anterior, permite la construcción de perfiles de entrada y salida, así como las temáticas y habilidades a desarrollar en la oferta de formación.</w:t>
      </w:r>
    </w:p>
    <w:p w14:paraId="13DE6C4A" w14:textId="7CEF23C6" w:rsidR="00F92A53" w:rsidRPr="00415077" w:rsidRDefault="00F92A53" w:rsidP="00415077">
      <w:pPr>
        <w:pStyle w:val="Prrafodelista"/>
        <w:jc w:val="both"/>
        <w:rPr>
          <w:rFonts w:ascii="Garamond" w:hAnsi="Garamond"/>
          <w:sz w:val="24"/>
          <w:szCs w:val="24"/>
        </w:rPr>
      </w:pPr>
      <w:r w:rsidRPr="00415077">
        <w:rPr>
          <w:rFonts w:ascii="Garamond" w:hAnsi="Garamond"/>
          <w:sz w:val="24"/>
          <w:szCs w:val="24"/>
        </w:rPr>
        <w:t xml:space="preserve">Estos cursos de formación y trayectorias serán diseñados de manera estructurada, teniendo en cuenta las características específicas de cada subsector y las tendencias del mercado laboral. Con el objetivo de garantizar la pertinencia de la oferta formativa, se realizará validación con expertos del sector productivo. Esta fase permitirá identificar las demandas laborales y las brechas existentes, además de las habilidades técnicas y socioemocionales necesarias, frente a los cargos con necesidades identificadas por las mismas entidades, empresas o gremios. </w:t>
      </w:r>
    </w:p>
    <w:p w14:paraId="7555C0F2" w14:textId="77777777" w:rsidR="00415077" w:rsidRPr="00415077" w:rsidRDefault="00415077" w:rsidP="00415077">
      <w:pPr>
        <w:jc w:val="both"/>
        <w:rPr>
          <w:rFonts w:ascii="Garamond" w:hAnsi="Garamond"/>
          <w:sz w:val="24"/>
          <w:szCs w:val="24"/>
        </w:rPr>
      </w:pPr>
    </w:p>
    <w:p w14:paraId="6C69387F" w14:textId="77777777" w:rsidR="00415077" w:rsidRDefault="00F92A53" w:rsidP="0055486F">
      <w:pPr>
        <w:pStyle w:val="Prrafodelista"/>
        <w:numPr>
          <w:ilvl w:val="0"/>
          <w:numId w:val="9"/>
        </w:numPr>
        <w:jc w:val="both"/>
        <w:rPr>
          <w:rFonts w:ascii="Garamond" w:hAnsi="Garamond"/>
          <w:sz w:val="24"/>
          <w:szCs w:val="24"/>
        </w:rPr>
      </w:pPr>
      <w:r w:rsidRPr="00415077">
        <w:rPr>
          <w:rFonts w:ascii="Garamond" w:hAnsi="Garamond"/>
          <w:b/>
          <w:bCs/>
          <w:sz w:val="24"/>
          <w:szCs w:val="24"/>
        </w:rPr>
        <w:lastRenderedPageBreak/>
        <w:t xml:space="preserve">Etapa 2: </w:t>
      </w:r>
      <w:r w:rsidRPr="00415077">
        <w:rPr>
          <w:rFonts w:ascii="Garamond" w:hAnsi="Garamond"/>
          <w:bCs/>
          <w:sz w:val="24"/>
          <w:szCs w:val="24"/>
        </w:rPr>
        <w:t>Selección de oferentes y operadores de formación.</w:t>
      </w:r>
      <w:r w:rsidRPr="00415077">
        <w:rPr>
          <w:rFonts w:ascii="Garamond" w:hAnsi="Garamond"/>
          <w:sz w:val="24"/>
          <w:szCs w:val="24"/>
        </w:rPr>
        <w:t xml:space="preserve"> comienza siguiendo las directrices establecidas en el manual de contratación de la Agencia Atenea. Este proceso estará alineado con las necesidades previamente identificadas, teniendo en cuenta el objetivo principal, la población beneficiaria, las características mínimas requeridas y los sectores económicos a impactar. El propósito es garantizar la selección de oferentes que cumplan con los requisitos establecidos, asegurando la contratación de servicios de formación que respondan a los objetivos planteados. </w:t>
      </w:r>
    </w:p>
    <w:p w14:paraId="6175426C" w14:textId="61D93155" w:rsidR="00F92A53" w:rsidRDefault="00F92A53" w:rsidP="00415077">
      <w:pPr>
        <w:pStyle w:val="Prrafodelista"/>
        <w:jc w:val="both"/>
        <w:rPr>
          <w:rFonts w:ascii="Garamond" w:hAnsi="Garamond"/>
          <w:sz w:val="24"/>
          <w:szCs w:val="24"/>
        </w:rPr>
      </w:pPr>
      <w:r w:rsidRPr="00415077">
        <w:rPr>
          <w:rFonts w:ascii="Garamond" w:hAnsi="Garamond"/>
          <w:sz w:val="24"/>
          <w:szCs w:val="24"/>
        </w:rPr>
        <w:t>De acuerdo con los requisitos establecidos para cada convocatoria, se seleccionará un sector económico específico a impactar, considerando los estudios de mercado realizados. A partir de esto, se definirán los contenidos mínimos que deben ofrecerse, los cuales deberán ser propuestos por el o los oferentes seleccionados. Estos contenidos deberán alinearse con un resultado de aprendizaje previamente definido y serán validados por el equipo designado por la Agencia Atenea. Además, se establecerán los requisitos mínimos de cumplimiento, formatos específicos de presentación y las condiciones necesarias para la apertura y adjudicación del proceso.</w:t>
      </w:r>
    </w:p>
    <w:p w14:paraId="64467938" w14:textId="77777777" w:rsidR="00415077" w:rsidRPr="00415077" w:rsidRDefault="00415077" w:rsidP="00415077">
      <w:pPr>
        <w:pStyle w:val="Prrafodelista"/>
        <w:jc w:val="both"/>
        <w:rPr>
          <w:rFonts w:ascii="Garamond" w:hAnsi="Garamond"/>
          <w:sz w:val="24"/>
          <w:szCs w:val="24"/>
        </w:rPr>
      </w:pPr>
    </w:p>
    <w:p w14:paraId="1EB19C32" w14:textId="77777777" w:rsidR="004D0332" w:rsidRDefault="00415077" w:rsidP="0055486F">
      <w:pPr>
        <w:pStyle w:val="Prrafodelista"/>
        <w:numPr>
          <w:ilvl w:val="0"/>
          <w:numId w:val="9"/>
        </w:numPr>
        <w:jc w:val="both"/>
        <w:rPr>
          <w:rFonts w:ascii="Garamond" w:hAnsi="Garamond"/>
          <w:sz w:val="24"/>
          <w:szCs w:val="24"/>
        </w:rPr>
      </w:pPr>
      <w:r w:rsidRPr="00415077">
        <w:rPr>
          <w:rFonts w:ascii="Garamond" w:hAnsi="Garamond"/>
          <w:b/>
          <w:bCs/>
          <w:sz w:val="24"/>
          <w:szCs w:val="24"/>
        </w:rPr>
        <w:t>Etapa 3:</w:t>
      </w:r>
      <w:r>
        <w:rPr>
          <w:rFonts w:ascii="Garamond" w:hAnsi="Garamond"/>
          <w:bCs/>
          <w:sz w:val="24"/>
          <w:szCs w:val="24"/>
        </w:rPr>
        <w:t xml:space="preserve"> </w:t>
      </w:r>
      <w:r w:rsidR="00F92A53" w:rsidRPr="00415077">
        <w:rPr>
          <w:rFonts w:ascii="Garamond" w:hAnsi="Garamond"/>
          <w:bCs/>
          <w:sz w:val="24"/>
          <w:szCs w:val="24"/>
        </w:rPr>
        <w:t xml:space="preserve">Convocatoria, inscripción y selección de participantes. </w:t>
      </w:r>
      <w:r w:rsidR="00F92A53" w:rsidRPr="00415077">
        <w:rPr>
          <w:rFonts w:ascii="Garamond" w:hAnsi="Garamond"/>
          <w:sz w:val="24"/>
          <w:szCs w:val="24"/>
        </w:rPr>
        <w:t xml:space="preserve">Esta etapa inicia con la divulgación y difusión de la convocatoria en la página web y el micrositio de la Agencia Atenea y por los demás medios de comunicación autorizados. Posteriormente, haciendo uso de la plataforma o el mecanismo dispuesto por la Agencia Atenea, comienza la inscripción de los aspirantes a la convocatoria. Una vez cerradas las inscripciones, se realiza la selección de personas elegibles y lista de espera (cuando aplique), de acuerdo con la información suministrada por los aspirantes y teniendo en cuenta los criterios mínimos de participación y de asignación de puntaje, establecidos en el lineamiento operativo. Finalmente, se publican los resultados obtenidos, en la plataforma y/o a través del mecanismo definido por la Agencia. Para la selección de los elegibles y lista de espera, se realiza la validación de los criterios mínimos de participación y de asignación de puntaje. </w:t>
      </w:r>
    </w:p>
    <w:p w14:paraId="1DBBE807" w14:textId="19368366" w:rsidR="00F92A53" w:rsidRDefault="00F92A53" w:rsidP="004D0332">
      <w:pPr>
        <w:pStyle w:val="Prrafodelista"/>
        <w:jc w:val="both"/>
        <w:rPr>
          <w:rFonts w:ascii="Garamond" w:hAnsi="Garamond"/>
          <w:sz w:val="24"/>
          <w:szCs w:val="24"/>
        </w:rPr>
      </w:pPr>
      <w:r w:rsidRPr="004D0332">
        <w:rPr>
          <w:rFonts w:ascii="Garamond" w:hAnsi="Garamond"/>
          <w:sz w:val="24"/>
          <w:szCs w:val="24"/>
        </w:rPr>
        <w:t>En cumplimiento de las normas vigentes sobre protección y tratamiento de datos personales, se podrá hacer uso de información de las bases de datos administradas por otras entidades, por lo que no debe entenderse que la información es creada por Atenea y, por ello, esta entidad no es la responsable de la actualización de los datos incluidos en dichas bases de datos sobre los aspirantes inscritos en la convocatoria.</w:t>
      </w:r>
    </w:p>
    <w:p w14:paraId="5B5BAE6E" w14:textId="77777777" w:rsidR="00687A08" w:rsidRPr="00687A08" w:rsidRDefault="00687A08" w:rsidP="00687A08">
      <w:pPr>
        <w:jc w:val="both"/>
        <w:rPr>
          <w:rFonts w:ascii="Garamond" w:hAnsi="Garamond"/>
          <w:sz w:val="24"/>
          <w:szCs w:val="24"/>
        </w:rPr>
      </w:pPr>
    </w:p>
    <w:p w14:paraId="4CC10F23" w14:textId="3A23CB92" w:rsidR="00F92A53" w:rsidRDefault="00687A08" w:rsidP="0055486F">
      <w:pPr>
        <w:pStyle w:val="Prrafodelista"/>
        <w:numPr>
          <w:ilvl w:val="0"/>
          <w:numId w:val="9"/>
        </w:numPr>
        <w:jc w:val="both"/>
        <w:rPr>
          <w:rFonts w:ascii="Garamond" w:hAnsi="Garamond"/>
          <w:sz w:val="24"/>
          <w:szCs w:val="24"/>
        </w:rPr>
      </w:pPr>
      <w:r>
        <w:rPr>
          <w:rFonts w:ascii="Garamond" w:hAnsi="Garamond"/>
          <w:b/>
          <w:bCs/>
          <w:sz w:val="24"/>
          <w:szCs w:val="24"/>
        </w:rPr>
        <w:t xml:space="preserve">Etapa 4: </w:t>
      </w:r>
      <w:r w:rsidR="00F92A53" w:rsidRPr="00687A08">
        <w:rPr>
          <w:rFonts w:ascii="Garamond" w:hAnsi="Garamond"/>
          <w:bCs/>
          <w:sz w:val="24"/>
          <w:szCs w:val="24"/>
        </w:rPr>
        <w:t>Formalización del beneficio.</w:t>
      </w:r>
      <w:r w:rsidR="00F92A53" w:rsidRPr="00687A08">
        <w:rPr>
          <w:rFonts w:ascii="Garamond" w:hAnsi="Garamond"/>
          <w:sz w:val="24"/>
          <w:szCs w:val="24"/>
        </w:rPr>
        <w:t xml:space="preserve"> La formalización del beneficio se centra en oficializar la vinculación al proceso formativo de los aspirantes que cumplieron con los criterios mínimos </w:t>
      </w:r>
      <w:r w:rsidR="00F92A53" w:rsidRPr="00687A08">
        <w:rPr>
          <w:rFonts w:ascii="Garamond" w:hAnsi="Garamond"/>
          <w:sz w:val="24"/>
          <w:szCs w:val="24"/>
        </w:rPr>
        <w:lastRenderedPageBreak/>
        <w:t>de participación y de asignación de puntaje y que por lo tanto fueron seleccionados como Elegibles durante la etapa de Convocatoria, inscripción y selección de participantes.</w:t>
      </w:r>
    </w:p>
    <w:p w14:paraId="0A457037" w14:textId="77777777" w:rsidR="00F14BF4" w:rsidRPr="00687A08" w:rsidRDefault="00F14BF4" w:rsidP="00F14BF4">
      <w:pPr>
        <w:pStyle w:val="Prrafodelista"/>
        <w:jc w:val="both"/>
        <w:rPr>
          <w:rFonts w:ascii="Garamond" w:hAnsi="Garamond"/>
          <w:sz w:val="24"/>
          <w:szCs w:val="24"/>
        </w:rPr>
      </w:pPr>
    </w:p>
    <w:p w14:paraId="256E8D34" w14:textId="72EEA616" w:rsidR="00F92A53" w:rsidRPr="00F14BF4" w:rsidRDefault="00F92A53" w:rsidP="0055486F">
      <w:pPr>
        <w:pStyle w:val="Prrafodelista"/>
        <w:numPr>
          <w:ilvl w:val="0"/>
          <w:numId w:val="9"/>
        </w:numPr>
        <w:jc w:val="both"/>
        <w:rPr>
          <w:rFonts w:ascii="Garamond" w:hAnsi="Garamond"/>
          <w:sz w:val="24"/>
          <w:szCs w:val="24"/>
        </w:rPr>
      </w:pPr>
      <w:r w:rsidRPr="00F14BF4">
        <w:rPr>
          <w:rFonts w:ascii="Garamond" w:hAnsi="Garamond"/>
          <w:b/>
          <w:bCs/>
          <w:sz w:val="24"/>
          <w:szCs w:val="24"/>
        </w:rPr>
        <w:t>Etapa 5:</w:t>
      </w:r>
      <w:r w:rsidRPr="00F14BF4">
        <w:rPr>
          <w:rFonts w:ascii="Garamond" w:hAnsi="Garamond"/>
          <w:bCs/>
          <w:sz w:val="24"/>
          <w:szCs w:val="24"/>
        </w:rPr>
        <w:t xml:space="preserve"> Etapa de formación y disposiciones relacionadas</w:t>
      </w:r>
      <w:r w:rsidRPr="00F14BF4">
        <w:rPr>
          <w:rFonts w:ascii="Garamond" w:hAnsi="Garamond"/>
          <w:sz w:val="24"/>
          <w:szCs w:val="24"/>
        </w:rPr>
        <w:t>. En esta etapa se desarrolla la formación definida en los syllabus, para el desarrollo de esta, se activarán las estrategias contempladas para el acompañamiento, seguimiento y permanencia durante la ejecución de la formación. El programa ofrece un modelo de formación corta y pertinente que contempla unos componentes que de manera articulada aportan a la formación integral. La formación ofertada es informal y en los lineamientos operativos dirigidos a los aspirantes se definirá la modalidad de formación (virtual, presencial o híbrida), sin perjuicio de que algunas actividades deban desarrollarse en modalidad presencial.</w:t>
      </w:r>
    </w:p>
    <w:p w14:paraId="4C4C5421" w14:textId="77777777" w:rsidR="00434686" w:rsidRPr="00434686" w:rsidRDefault="00434686" w:rsidP="00434686">
      <w:pPr>
        <w:pStyle w:val="Prrafodelista"/>
        <w:rPr>
          <w:rFonts w:ascii="Garamond" w:hAnsi="Garamond"/>
          <w:bCs/>
          <w:sz w:val="24"/>
          <w:szCs w:val="24"/>
        </w:rPr>
      </w:pPr>
    </w:p>
    <w:p w14:paraId="1D2BD56A" w14:textId="6ABF2623" w:rsidR="00F92A53" w:rsidRPr="00434686" w:rsidRDefault="00434686" w:rsidP="0055486F">
      <w:pPr>
        <w:pStyle w:val="Prrafodelista"/>
        <w:numPr>
          <w:ilvl w:val="0"/>
          <w:numId w:val="9"/>
        </w:numPr>
        <w:jc w:val="both"/>
        <w:rPr>
          <w:rFonts w:ascii="Garamond" w:hAnsi="Garamond"/>
          <w:sz w:val="24"/>
          <w:szCs w:val="24"/>
        </w:rPr>
      </w:pPr>
      <w:r>
        <w:rPr>
          <w:rFonts w:ascii="Garamond" w:hAnsi="Garamond"/>
          <w:b/>
          <w:bCs/>
          <w:sz w:val="24"/>
          <w:szCs w:val="24"/>
        </w:rPr>
        <w:t xml:space="preserve">Etapa 6: </w:t>
      </w:r>
      <w:r w:rsidR="00F92A53" w:rsidRPr="00434686">
        <w:rPr>
          <w:rFonts w:ascii="Garamond" w:hAnsi="Garamond"/>
          <w:bCs/>
          <w:sz w:val="24"/>
          <w:szCs w:val="24"/>
        </w:rPr>
        <w:t>Cierre proceso formativo.</w:t>
      </w:r>
      <w:r w:rsidR="00F92A53" w:rsidRPr="00434686">
        <w:rPr>
          <w:rFonts w:ascii="Garamond" w:hAnsi="Garamond"/>
          <w:sz w:val="24"/>
          <w:szCs w:val="24"/>
        </w:rPr>
        <w:t xml:space="preserve"> Esta etapa marca la culminación del proceso formativo de los beneficiarios del programa. En esta etapa se validará el desarrollo de las temáticas descritas en el syllabus y el logro de los objetivos, permitiendo a los beneficiarios la obtención de la constancia de participación y demás certificaciones que puedan incluirse en el proceso formativo. También se documenta el desempeño de los beneficiarios, lo que permite asignarles el estado de aprobados o no aprobados según corresponda. Esta etapa incluye la consolidación de reportes, la emisión de certificaciones y constancias de participación, así como la recopilación de lecciones aprendidas para mejorar futuras implementaciones del programa.</w:t>
      </w:r>
    </w:p>
    <w:p w14:paraId="35A70EF6" w14:textId="77777777" w:rsidR="00F92A53" w:rsidRPr="00F92A53" w:rsidRDefault="00F92A53" w:rsidP="00F92A53">
      <w:pPr>
        <w:jc w:val="both"/>
        <w:rPr>
          <w:rFonts w:ascii="Garamond" w:hAnsi="Garamond" w:cstheme="minorBidi"/>
          <w:b/>
          <w:sz w:val="24"/>
          <w:szCs w:val="24"/>
          <w:lang w:val="es-ES"/>
        </w:rPr>
      </w:pPr>
    </w:p>
    <w:p w14:paraId="64F5C9D5" w14:textId="2062AD9E" w:rsidR="00F92A53" w:rsidRPr="008F3375" w:rsidRDefault="00F92A53" w:rsidP="0055486F">
      <w:pPr>
        <w:pStyle w:val="Prrafodelista"/>
        <w:numPr>
          <w:ilvl w:val="2"/>
          <w:numId w:val="43"/>
        </w:numPr>
        <w:jc w:val="both"/>
        <w:rPr>
          <w:rFonts w:ascii="Garamond" w:hAnsi="Garamond"/>
          <w:b/>
          <w:sz w:val="24"/>
          <w:szCs w:val="24"/>
          <w:lang w:val="es-ES"/>
        </w:rPr>
      </w:pPr>
      <w:r w:rsidRPr="008F3375">
        <w:rPr>
          <w:rFonts w:ascii="Garamond" w:hAnsi="Garamond"/>
          <w:b/>
          <w:sz w:val="24"/>
          <w:szCs w:val="24"/>
          <w:lang w:val="es-ES"/>
        </w:rPr>
        <w:t xml:space="preserve">ESTRATEGIA DE BIENESTAR INTEGRAL </w:t>
      </w:r>
    </w:p>
    <w:p w14:paraId="444CE1BF"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t xml:space="preserve">En el marco del seguimiento que la Agencia Atenea realiza a los procesos formativos de sus beneficiarios/as, se ha consolidado una estrategia de Bienestar Integral, orientada a generar condiciones que fomenten trayectorias educativas completas y minimicen los riesgos de deserción. Esta estrategia se basa en una </w:t>
      </w:r>
      <w:r w:rsidRPr="008F3375">
        <w:rPr>
          <w:rFonts w:ascii="Garamond" w:hAnsi="Garamond" w:cstheme="minorBidi"/>
          <w:bCs/>
          <w:sz w:val="24"/>
          <w:szCs w:val="24"/>
        </w:rPr>
        <w:t>intervención multidimensional</w:t>
      </w:r>
      <w:r w:rsidRPr="008F3375">
        <w:rPr>
          <w:rFonts w:ascii="Garamond" w:hAnsi="Garamond" w:cstheme="minorBidi"/>
          <w:sz w:val="24"/>
          <w:szCs w:val="24"/>
        </w:rPr>
        <w:t xml:space="preserve"> que aborda los principales factores que inciden en la permanencia estudiantil, estructurándose en tres ejes: </w:t>
      </w:r>
      <w:r w:rsidRPr="008F3375">
        <w:rPr>
          <w:rFonts w:ascii="Garamond" w:hAnsi="Garamond" w:cstheme="minorBidi"/>
          <w:bCs/>
          <w:sz w:val="24"/>
          <w:szCs w:val="24"/>
        </w:rPr>
        <w:t>prevención, acompañamiento integral y articulación institucional</w:t>
      </w:r>
      <w:r w:rsidRPr="008F3375">
        <w:rPr>
          <w:rFonts w:ascii="Garamond" w:hAnsi="Garamond" w:cstheme="minorBidi"/>
          <w:sz w:val="24"/>
          <w:szCs w:val="24"/>
        </w:rPr>
        <w:t>.</w:t>
      </w:r>
    </w:p>
    <w:p w14:paraId="547D2F68" w14:textId="77777777" w:rsidR="00F92A53" w:rsidRPr="008F3375" w:rsidRDefault="00F92A53" w:rsidP="00F92A53">
      <w:pPr>
        <w:jc w:val="both"/>
        <w:rPr>
          <w:rFonts w:ascii="Garamond" w:hAnsi="Garamond" w:cstheme="minorBidi"/>
          <w:sz w:val="24"/>
          <w:szCs w:val="24"/>
        </w:rPr>
      </w:pPr>
    </w:p>
    <w:p w14:paraId="61908C82"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t xml:space="preserve">La estrategia incorpora acciones transversales, alineadas con las necesidades de los beneficiarios en cada etapa de su formación. Desde la </w:t>
      </w:r>
      <w:r w:rsidRPr="008F3375">
        <w:rPr>
          <w:rFonts w:ascii="Garamond" w:hAnsi="Garamond" w:cstheme="minorBidi"/>
          <w:bCs/>
          <w:sz w:val="24"/>
          <w:szCs w:val="24"/>
        </w:rPr>
        <w:t>caracterización inicial de la población</w:t>
      </w:r>
      <w:r w:rsidRPr="008F3375">
        <w:rPr>
          <w:rFonts w:ascii="Garamond" w:hAnsi="Garamond" w:cstheme="minorBidi"/>
          <w:sz w:val="24"/>
          <w:szCs w:val="24"/>
        </w:rPr>
        <w:t xml:space="preserve">, realizada a través del Sistema de Información y Control de Registro Educativo (SICORE), hasta la implementación de </w:t>
      </w:r>
      <w:r w:rsidRPr="008F3375">
        <w:rPr>
          <w:rFonts w:ascii="Garamond" w:hAnsi="Garamond" w:cstheme="minorBidi"/>
          <w:bCs/>
          <w:sz w:val="24"/>
          <w:szCs w:val="24"/>
        </w:rPr>
        <w:t>mecanismos de identificación temprana de riesgos socioeconómicos, académicos y psicosociales</w:t>
      </w:r>
      <w:r w:rsidRPr="008F3375">
        <w:rPr>
          <w:rFonts w:ascii="Garamond" w:hAnsi="Garamond" w:cstheme="minorBidi"/>
          <w:sz w:val="24"/>
          <w:szCs w:val="24"/>
        </w:rPr>
        <w:t>, garantizando intervenciones oportunas y ajustadas a cada perfil.</w:t>
      </w:r>
    </w:p>
    <w:p w14:paraId="016B4E5E" w14:textId="77777777" w:rsidR="00F92A53" w:rsidRPr="008F3375" w:rsidRDefault="00F92A53" w:rsidP="00F92A53">
      <w:pPr>
        <w:jc w:val="both"/>
        <w:rPr>
          <w:rFonts w:ascii="Garamond" w:hAnsi="Garamond" w:cstheme="minorBidi"/>
          <w:sz w:val="24"/>
          <w:szCs w:val="24"/>
        </w:rPr>
      </w:pPr>
    </w:p>
    <w:p w14:paraId="0CAA1849"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lastRenderedPageBreak/>
        <w:t xml:space="preserve">Uno de los pilares fundamentales es el </w:t>
      </w:r>
      <w:r w:rsidRPr="008F3375">
        <w:rPr>
          <w:rFonts w:ascii="Garamond" w:hAnsi="Garamond" w:cstheme="minorBidi"/>
          <w:bCs/>
          <w:sz w:val="24"/>
          <w:szCs w:val="24"/>
        </w:rPr>
        <w:t>Sistema de Alertas Tempranas</w:t>
      </w:r>
      <w:r w:rsidRPr="008F3375">
        <w:rPr>
          <w:rFonts w:ascii="Garamond" w:hAnsi="Garamond" w:cstheme="minorBidi"/>
          <w:sz w:val="24"/>
          <w:szCs w:val="24"/>
        </w:rPr>
        <w:t>, que permite identificar factores de riesgo en tiempo real, articulando información con la Secretaría de Educación y las Instituciones de Educación Superior (IES) e Instituciones de Educación para el Trabajo y el Desarrollo Humano (IETDH). A partir de esta caracterización, se activan rutas de acompañamiento diferenciadas, priorizando a los beneficiarios con mayores niveles de vulnerabilidad.</w:t>
      </w:r>
    </w:p>
    <w:p w14:paraId="74725B78" w14:textId="77777777" w:rsidR="00F92A53" w:rsidRPr="008F3375" w:rsidRDefault="00F92A53" w:rsidP="00F92A53">
      <w:pPr>
        <w:jc w:val="both"/>
        <w:rPr>
          <w:rFonts w:ascii="Garamond" w:hAnsi="Garamond" w:cstheme="minorBidi"/>
          <w:sz w:val="24"/>
          <w:szCs w:val="24"/>
        </w:rPr>
      </w:pPr>
    </w:p>
    <w:p w14:paraId="622C03B7"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t xml:space="preserve">Cabe aclarar que las acciones están focalizadas de acuerdo con las características de cada uno de los programas que la Agencia implementa y no todas las estrategias pueden alcanzar a los mismos beneficiarios. Por ello, cada intervención se diseña considerando las necesidades particulares de los programas </w:t>
      </w:r>
      <w:r w:rsidRPr="008F3375">
        <w:rPr>
          <w:rFonts w:ascii="Garamond" w:hAnsi="Garamond" w:cstheme="minorBidi"/>
          <w:bCs/>
          <w:sz w:val="24"/>
          <w:szCs w:val="24"/>
        </w:rPr>
        <w:t>Jóvenes a la E, Talento Capital y La U en tu Colegio (UTC)</w:t>
      </w:r>
      <w:r w:rsidRPr="008F3375">
        <w:rPr>
          <w:rFonts w:ascii="Garamond" w:hAnsi="Garamond" w:cstheme="minorBidi"/>
          <w:sz w:val="24"/>
          <w:szCs w:val="24"/>
        </w:rPr>
        <w:t>, garantizando pertinencia y efectividad en su ejecución.</w:t>
      </w:r>
    </w:p>
    <w:p w14:paraId="4D97621D" w14:textId="77777777" w:rsidR="00F92A53" w:rsidRPr="008F3375" w:rsidRDefault="00F92A53" w:rsidP="00F92A53">
      <w:pPr>
        <w:jc w:val="both"/>
        <w:rPr>
          <w:rFonts w:ascii="Garamond" w:hAnsi="Garamond" w:cstheme="minorBidi"/>
          <w:sz w:val="24"/>
          <w:szCs w:val="24"/>
        </w:rPr>
      </w:pPr>
    </w:p>
    <w:p w14:paraId="439BDC2F"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t xml:space="preserve">Dentro de las estrategias de bienestar, se han desarrollado </w:t>
      </w:r>
      <w:r w:rsidRPr="008F3375">
        <w:rPr>
          <w:rFonts w:ascii="Garamond" w:hAnsi="Garamond" w:cstheme="minorBidi"/>
          <w:bCs/>
          <w:sz w:val="24"/>
          <w:szCs w:val="24"/>
        </w:rPr>
        <w:t>acciones específicas</w:t>
      </w:r>
      <w:r w:rsidRPr="008F3375">
        <w:rPr>
          <w:rFonts w:ascii="Garamond" w:hAnsi="Garamond" w:cstheme="minorBidi"/>
          <w:sz w:val="24"/>
          <w:szCs w:val="24"/>
        </w:rPr>
        <w:t xml:space="preserve"> para fortalecer la permanencia y el éxito académico, incluyendo:</w:t>
      </w:r>
    </w:p>
    <w:p w14:paraId="4D5AD542" w14:textId="77777777" w:rsidR="00F92A53" w:rsidRPr="008F3375" w:rsidRDefault="00F92A53" w:rsidP="00F92A53">
      <w:pPr>
        <w:jc w:val="both"/>
        <w:rPr>
          <w:rFonts w:ascii="Garamond" w:hAnsi="Garamond" w:cstheme="minorBidi"/>
          <w:bCs/>
          <w:sz w:val="24"/>
          <w:szCs w:val="24"/>
        </w:rPr>
      </w:pPr>
    </w:p>
    <w:p w14:paraId="30B42B2E" w14:textId="77777777" w:rsidR="00F92A53" w:rsidRPr="008F3375" w:rsidRDefault="00F92A53" w:rsidP="0055486F">
      <w:pPr>
        <w:numPr>
          <w:ilvl w:val="0"/>
          <w:numId w:val="32"/>
        </w:numPr>
        <w:jc w:val="both"/>
        <w:rPr>
          <w:rFonts w:ascii="Garamond" w:hAnsi="Garamond" w:cstheme="minorBidi"/>
          <w:sz w:val="24"/>
          <w:szCs w:val="24"/>
        </w:rPr>
      </w:pPr>
      <w:r w:rsidRPr="008F3375">
        <w:rPr>
          <w:rFonts w:ascii="Garamond" w:hAnsi="Garamond" w:cstheme="minorBidi"/>
          <w:bCs/>
          <w:sz w:val="24"/>
          <w:szCs w:val="24"/>
        </w:rPr>
        <w:t>Nivelación académica en competencias básicas y digitales</w:t>
      </w:r>
      <w:r w:rsidRPr="008F3375">
        <w:rPr>
          <w:rFonts w:ascii="Garamond" w:hAnsi="Garamond" w:cstheme="minorBidi"/>
          <w:sz w:val="24"/>
          <w:szCs w:val="24"/>
        </w:rPr>
        <w:t xml:space="preserve"> a través de </w:t>
      </w:r>
      <w:r w:rsidRPr="008F3375">
        <w:rPr>
          <w:rFonts w:ascii="Garamond" w:hAnsi="Garamond" w:cstheme="minorBidi"/>
          <w:bCs/>
          <w:sz w:val="24"/>
          <w:szCs w:val="24"/>
        </w:rPr>
        <w:t>Academia Atenea</w:t>
      </w:r>
      <w:r w:rsidRPr="008F3375">
        <w:rPr>
          <w:rFonts w:ascii="Garamond" w:hAnsi="Garamond" w:cstheme="minorBidi"/>
          <w:sz w:val="24"/>
          <w:szCs w:val="24"/>
        </w:rPr>
        <w:t>, con un enfoque en fortalecer habilidades clave para el desempeño en la educación superior.</w:t>
      </w:r>
    </w:p>
    <w:p w14:paraId="0AE95443" w14:textId="77777777" w:rsidR="00F92A53" w:rsidRPr="008F3375" w:rsidRDefault="00F92A53" w:rsidP="0055486F">
      <w:pPr>
        <w:numPr>
          <w:ilvl w:val="0"/>
          <w:numId w:val="32"/>
        </w:numPr>
        <w:jc w:val="both"/>
        <w:rPr>
          <w:rFonts w:ascii="Garamond" w:hAnsi="Garamond" w:cstheme="minorBidi"/>
          <w:sz w:val="24"/>
          <w:szCs w:val="24"/>
        </w:rPr>
      </w:pPr>
      <w:r w:rsidRPr="008F3375">
        <w:rPr>
          <w:rFonts w:ascii="Garamond" w:hAnsi="Garamond" w:cstheme="minorBidi"/>
          <w:bCs/>
          <w:sz w:val="24"/>
          <w:szCs w:val="24"/>
        </w:rPr>
        <w:t>Asesoría virtual para orientación socio-ocupacional</w:t>
      </w:r>
      <w:r w:rsidRPr="008F3375">
        <w:rPr>
          <w:rFonts w:ascii="Garamond" w:hAnsi="Garamond" w:cstheme="minorBidi"/>
          <w:sz w:val="24"/>
          <w:szCs w:val="24"/>
        </w:rPr>
        <w:t xml:space="preserve">, mediante herramientas tecnológicas como </w:t>
      </w:r>
      <w:r w:rsidRPr="008F3375">
        <w:rPr>
          <w:rFonts w:ascii="Garamond" w:hAnsi="Garamond" w:cstheme="minorBidi"/>
          <w:bCs/>
          <w:sz w:val="24"/>
          <w:szCs w:val="24"/>
        </w:rPr>
        <w:t>Mentor y Hermes</w:t>
      </w:r>
      <w:r w:rsidRPr="008F3375">
        <w:rPr>
          <w:rFonts w:ascii="Garamond" w:hAnsi="Garamond" w:cstheme="minorBidi"/>
          <w:sz w:val="24"/>
          <w:szCs w:val="24"/>
        </w:rPr>
        <w:t>, que ofrecen acompañamiento en la construcción de trayectorias formativas y profesionales.</w:t>
      </w:r>
    </w:p>
    <w:p w14:paraId="34524BEF" w14:textId="77777777" w:rsidR="00F92A53" w:rsidRPr="008F3375" w:rsidRDefault="00F92A53" w:rsidP="0055486F">
      <w:pPr>
        <w:numPr>
          <w:ilvl w:val="0"/>
          <w:numId w:val="32"/>
        </w:numPr>
        <w:jc w:val="both"/>
        <w:rPr>
          <w:rFonts w:ascii="Garamond" w:hAnsi="Garamond" w:cstheme="minorBidi"/>
          <w:sz w:val="24"/>
          <w:szCs w:val="24"/>
        </w:rPr>
      </w:pPr>
      <w:r w:rsidRPr="008F3375">
        <w:rPr>
          <w:rFonts w:ascii="Garamond" w:hAnsi="Garamond" w:cstheme="minorBidi"/>
          <w:bCs/>
          <w:sz w:val="24"/>
          <w:szCs w:val="24"/>
        </w:rPr>
        <w:t>Acompañamiento psicosocial</w:t>
      </w:r>
      <w:r w:rsidRPr="008F3375">
        <w:rPr>
          <w:rFonts w:ascii="Garamond" w:hAnsi="Garamond" w:cstheme="minorBidi"/>
          <w:sz w:val="24"/>
          <w:szCs w:val="24"/>
        </w:rPr>
        <w:t xml:space="preserve"> a través de espacios de escucha y talleres de fortalecimiento del proyecto de vida, promoviendo la resiliencia y adaptación de los beneficiarios.</w:t>
      </w:r>
    </w:p>
    <w:p w14:paraId="5437CF23" w14:textId="77777777" w:rsidR="00F92A53" w:rsidRPr="008F3375" w:rsidRDefault="00F92A53" w:rsidP="0055486F">
      <w:pPr>
        <w:numPr>
          <w:ilvl w:val="0"/>
          <w:numId w:val="32"/>
        </w:numPr>
        <w:jc w:val="both"/>
        <w:rPr>
          <w:rFonts w:ascii="Garamond" w:hAnsi="Garamond" w:cstheme="minorBidi"/>
          <w:sz w:val="24"/>
          <w:szCs w:val="24"/>
        </w:rPr>
      </w:pPr>
      <w:r w:rsidRPr="008F3375">
        <w:rPr>
          <w:rFonts w:ascii="Garamond" w:hAnsi="Garamond" w:cstheme="minorBidi"/>
          <w:bCs/>
          <w:sz w:val="24"/>
          <w:szCs w:val="24"/>
        </w:rPr>
        <w:t>Apoyos económicos y en especie</w:t>
      </w:r>
      <w:r w:rsidRPr="008F3375">
        <w:rPr>
          <w:rFonts w:ascii="Garamond" w:hAnsi="Garamond" w:cstheme="minorBidi"/>
          <w:sz w:val="24"/>
          <w:szCs w:val="24"/>
        </w:rPr>
        <w:t>, priorizando a estudiantes en condición de vulnerabilidad, facilitando acceso a transporte, materiales de estudio y subsidios de sostenimiento.</w:t>
      </w:r>
    </w:p>
    <w:p w14:paraId="7C125E35" w14:textId="77777777" w:rsidR="00F92A53" w:rsidRPr="008F3375" w:rsidRDefault="00F92A53" w:rsidP="0055486F">
      <w:pPr>
        <w:numPr>
          <w:ilvl w:val="0"/>
          <w:numId w:val="32"/>
        </w:numPr>
        <w:jc w:val="both"/>
        <w:rPr>
          <w:rFonts w:ascii="Garamond" w:hAnsi="Garamond" w:cstheme="minorBidi"/>
          <w:sz w:val="24"/>
          <w:szCs w:val="24"/>
        </w:rPr>
      </w:pPr>
      <w:r w:rsidRPr="008F3375">
        <w:rPr>
          <w:rFonts w:ascii="Garamond" w:hAnsi="Garamond" w:cstheme="minorBidi"/>
          <w:bCs/>
          <w:sz w:val="24"/>
          <w:szCs w:val="24"/>
        </w:rPr>
        <w:t>Articulación con redes de apoyo institucional y comunitario</w:t>
      </w:r>
      <w:r w:rsidRPr="008F3375">
        <w:rPr>
          <w:rFonts w:ascii="Garamond" w:hAnsi="Garamond" w:cstheme="minorBidi"/>
          <w:sz w:val="24"/>
          <w:szCs w:val="24"/>
        </w:rPr>
        <w:t>, garantizando acceso a servicios complementarios de bienestar, salud mental y orientación académica.</w:t>
      </w:r>
    </w:p>
    <w:p w14:paraId="67B5180E" w14:textId="77777777" w:rsidR="00F92A53" w:rsidRPr="008F3375" w:rsidRDefault="00F92A53" w:rsidP="00F92A53">
      <w:pPr>
        <w:jc w:val="both"/>
        <w:rPr>
          <w:rFonts w:ascii="Garamond" w:hAnsi="Garamond" w:cstheme="minorBidi"/>
          <w:sz w:val="24"/>
          <w:szCs w:val="24"/>
        </w:rPr>
      </w:pPr>
    </w:p>
    <w:p w14:paraId="2968B438"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t xml:space="preserve">En el componente de orientación y adaptación, se han diseñado estrategias dirigidas a </w:t>
      </w:r>
      <w:r w:rsidRPr="008F3375">
        <w:rPr>
          <w:rFonts w:ascii="Garamond" w:hAnsi="Garamond" w:cstheme="minorBidi"/>
          <w:bCs/>
          <w:sz w:val="24"/>
          <w:szCs w:val="24"/>
        </w:rPr>
        <w:t>facilitar la integración de los beneficiarios en sus entornos académicos</w:t>
      </w:r>
      <w:r w:rsidRPr="008F3375">
        <w:rPr>
          <w:rFonts w:ascii="Garamond" w:hAnsi="Garamond" w:cstheme="minorBidi"/>
          <w:sz w:val="24"/>
          <w:szCs w:val="24"/>
        </w:rPr>
        <w:t>, a través de:</w:t>
      </w:r>
    </w:p>
    <w:p w14:paraId="30D687BC" w14:textId="77777777" w:rsidR="00F92A53" w:rsidRPr="008F3375" w:rsidRDefault="00F92A53" w:rsidP="00F92A53">
      <w:pPr>
        <w:jc w:val="both"/>
        <w:rPr>
          <w:rFonts w:ascii="Garamond" w:hAnsi="Garamond" w:cstheme="minorBidi"/>
          <w:sz w:val="24"/>
          <w:szCs w:val="24"/>
        </w:rPr>
      </w:pPr>
    </w:p>
    <w:p w14:paraId="31220466" w14:textId="77777777" w:rsidR="00F92A53" w:rsidRPr="008F3375" w:rsidRDefault="00F92A53" w:rsidP="0055486F">
      <w:pPr>
        <w:numPr>
          <w:ilvl w:val="0"/>
          <w:numId w:val="34"/>
        </w:numPr>
        <w:jc w:val="both"/>
        <w:rPr>
          <w:rFonts w:ascii="Garamond" w:hAnsi="Garamond" w:cstheme="minorBidi"/>
          <w:sz w:val="24"/>
          <w:szCs w:val="24"/>
        </w:rPr>
      </w:pPr>
      <w:r w:rsidRPr="008F3375">
        <w:rPr>
          <w:rFonts w:ascii="Garamond" w:hAnsi="Garamond" w:cstheme="minorBidi"/>
          <w:bCs/>
          <w:sz w:val="24"/>
          <w:szCs w:val="24"/>
        </w:rPr>
        <w:t>Talleres de adaptación a la vida institucional</w:t>
      </w:r>
      <w:r w:rsidRPr="008F3375">
        <w:rPr>
          <w:rFonts w:ascii="Garamond" w:hAnsi="Garamond" w:cstheme="minorBidi"/>
          <w:sz w:val="24"/>
          <w:szCs w:val="24"/>
        </w:rPr>
        <w:t xml:space="preserve"> con mentorías pares.</w:t>
      </w:r>
    </w:p>
    <w:p w14:paraId="010F9360" w14:textId="77777777" w:rsidR="00F92A53" w:rsidRPr="008F3375" w:rsidRDefault="00F92A53" w:rsidP="0055486F">
      <w:pPr>
        <w:numPr>
          <w:ilvl w:val="0"/>
          <w:numId w:val="34"/>
        </w:numPr>
        <w:jc w:val="both"/>
        <w:rPr>
          <w:rFonts w:ascii="Garamond" w:hAnsi="Garamond" w:cstheme="minorBidi"/>
          <w:sz w:val="24"/>
          <w:szCs w:val="24"/>
        </w:rPr>
      </w:pPr>
      <w:r w:rsidRPr="008F3375">
        <w:rPr>
          <w:rFonts w:ascii="Garamond" w:hAnsi="Garamond" w:cstheme="minorBidi"/>
          <w:bCs/>
          <w:sz w:val="24"/>
          <w:szCs w:val="24"/>
        </w:rPr>
        <w:t>Estrategias de ajuste de rutas formativas</w:t>
      </w:r>
      <w:r w:rsidRPr="008F3375">
        <w:rPr>
          <w:rFonts w:ascii="Garamond" w:hAnsi="Garamond" w:cstheme="minorBidi"/>
          <w:sz w:val="24"/>
          <w:szCs w:val="24"/>
        </w:rPr>
        <w:t>, asegurando flexibilidad en la trayectoria educativa según las necesidades individuales de los beneficiarios.</w:t>
      </w:r>
    </w:p>
    <w:p w14:paraId="4D9586F1" w14:textId="77777777" w:rsidR="00F92A53" w:rsidRPr="008F3375" w:rsidRDefault="00F92A53" w:rsidP="0055486F">
      <w:pPr>
        <w:numPr>
          <w:ilvl w:val="0"/>
          <w:numId w:val="34"/>
        </w:numPr>
        <w:jc w:val="both"/>
        <w:rPr>
          <w:rFonts w:ascii="Garamond" w:hAnsi="Garamond" w:cstheme="minorBidi"/>
          <w:sz w:val="24"/>
          <w:szCs w:val="24"/>
        </w:rPr>
      </w:pPr>
      <w:r w:rsidRPr="008F3375">
        <w:rPr>
          <w:rFonts w:ascii="Garamond" w:hAnsi="Garamond" w:cstheme="minorBidi"/>
          <w:bCs/>
          <w:sz w:val="24"/>
          <w:szCs w:val="24"/>
        </w:rPr>
        <w:t>Acceso a información relevante sobre oportunidades de formación y empleabilidad</w:t>
      </w:r>
      <w:r w:rsidRPr="008F3375">
        <w:rPr>
          <w:rFonts w:ascii="Garamond" w:hAnsi="Garamond" w:cstheme="minorBidi"/>
          <w:sz w:val="24"/>
          <w:szCs w:val="24"/>
        </w:rPr>
        <w:t>, incluyendo cursos de idiomas, certificaciones digitales y capacitación en herramientas tecnológicas.</w:t>
      </w:r>
    </w:p>
    <w:p w14:paraId="7C66A6D0" w14:textId="77777777" w:rsidR="00F92A53" w:rsidRPr="008F3375" w:rsidRDefault="00F92A53" w:rsidP="00F92A53">
      <w:pPr>
        <w:jc w:val="both"/>
        <w:rPr>
          <w:rFonts w:ascii="Garamond" w:hAnsi="Garamond" w:cstheme="minorBidi"/>
          <w:sz w:val="24"/>
          <w:szCs w:val="24"/>
        </w:rPr>
      </w:pPr>
    </w:p>
    <w:p w14:paraId="091A6803"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lastRenderedPageBreak/>
        <w:t xml:space="preserve">Adicionalmente, el </w:t>
      </w:r>
      <w:r w:rsidRPr="008F3375">
        <w:rPr>
          <w:rFonts w:ascii="Garamond" w:hAnsi="Garamond" w:cstheme="minorBidi"/>
          <w:bCs/>
          <w:sz w:val="24"/>
          <w:szCs w:val="24"/>
        </w:rPr>
        <w:t>acompañamiento en la permanencia educativa</w:t>
      </w:r>
      <w:r w:rsidRPr="008F3375">
        <w:rPr>
          <w:rFonts w:ascii="Garamond" w:hAnsi="Garamond" w:cstheme="minorBidi"/>
          <w:sz w:val="24"/>
          <w:szCs w:val="24"/>
        </w:rPr>
        <w:t xml:space="preserve"> contempla medidas diferenciadas para poblaciones en condiciones de vulnerabilidad, como madres jóvenes, personas con discapacidad, comunidades étnicas y beneficiarios con problemas de salud mental. Esto se complementa con la entrega de una </w:t>
      </w:r>
      <w:r w:rsidRPr="008F3375">
        <w:rPr>
          <w:rFonts w:ascii="Garamond" w:hAnsi="Garamond" w:cstheme="minorBidi"/>
          <w:bCs/>
          <w:sz w:val="24"/>
          <w:szCs w:val="24"/>
        </w:rPr>
        <w:t>caja de herramientas</w:t>
      </w:r>
      <w:r w:rsidRPr="008F3375">
        <w:rPr>
          <w:rFonts w:ascii="Garamond" w:hAnsi="Garamond" w:cstheme="minorBidi"/>
          <w:sz w:val="24"/>
          <w:szCs w:val="24"/>
        </w:rPr>
        <w:t xml:space="preserve"> a las IES y ETDH, que incluye lineamientos para la atención de población diferencial y la implementación de estrategias inclusivas.</w:t>
      </w:r>
    </w:p>
    <w:p w14:paraId="5514E4AD" w14:textId="77777777" w:rsidR="00F92A53" w:rsidRPr="008F3375" w:rsidRDefault="00F92A53" w:rsidP="00F92A53">
      <w:pPr>
        <w:jc w:val="both"/>
        <w:rPr>
          <w:rFonts w:ascii="Garamond" w:hAnsi="Garamond" w:cstheme="minorBidi"/>
          <w:sz w:val="24"/>
          <w:szCs w:val="24"/>
        </w:rPr>
      </w:pPr>
    </w:p>
    <w:p w14:paraId="1D95936C"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t xml:space="preserve">Finalmente, como parte del proceso de </w:t>
      </w:r>
      <w:r w:rsidRPr="008F3375">
        <w:rPr>
          <w:rFonts w:ascii="Garamond" w:hAnsi="Garamond" w:cstheme="minorBidi"/>
          <w:bCs/>
          <w:sz w:val="24"/>
          <w:szCs w:val="24"/>
        </w:rPr>
        <w:t>preparación para el mundo laboral</w:t>
      </w:r>
      <w:r w:rsidRPr="008F3375">
        <w:rPr>
          <w:rFonts w:ascii="Garamond" w:hAnsi="Garamond" w:cstheme="minorBidi"/>
          <w:sz w:val="24"/>
          <w:szCs w:val="24"/>
        </w:rPr>
        <w:t>, la estrategia contempla el fortalecimiento del perfil profesional de los beneficiarios mediante:</w:t>
      </w:r>
    </w:p>
    <w:p w14:paraId="0E455028" w14:textId="77777777" w:rsidR="00F92A53" w:rsidRPr="008F3375" w:rsidRDefault="00F92A53" w:rsidP="00F92A53">
      <w:pPr>
        <w:jc w:val="both"/>
        <w:rPr>
          <w:rFonts w:ascii="Garamond" w:hAnsi="Garamond" w:cstheme="minorBidi"/>
          <w:sz w:val="24"/>
          <w:szCs w:val="24"/>
        </w:rPr>
      </w:pPr>
    </w:p>
    <w:p w14:paraId="1420D1AC" w14:textId="77777777" w:rsidR="00F92A53" w:rsidRPr="008F3375" w:rsidRDefault="00F92A53" w:rsidP="0055486F">
      <w:pPr>
        <w:numPr>
          <w:ilvl w:val="0"/>
          <w:numId w:val="35"/>
        </w:numPr>
        <w:jc w:val="both"/>
        <w:rPr>
          <w:rFonts w:ascii="Garamond" w:hAnsi="Garamond" w:cstheme="minorBidi"/>
          <w:sz w:val="24"/>
          <w:szCs w:val="24"/>
        </w:rPr>
      </w:pPr>
      <w:r w:rsidRPr="008F3375">
        <w:rPr>
          <w:rFonts w:ascii="Garamond" w:hAnsi="Garamond" w:cstheme="minorBidi"/>
          <w:bCs/>
          <w:sz w:val="24"/>
          <w:szCs w:val="24"/>
        </w:rPr>
        <w:t>Microcertificaciones</w:t>
      </w:r>
      <w:r w:rsidRPr="008F3375">
        <w:rPr>
          <w:rFonts w:ascii="Garamond" w:hAnsi="Garamond" w:cstheme="minorBidi"/>
          <w:sz w:val="24"/>
          <w:szCs w:val="24"/>
        </w:rPr>
        <w:t xml:space="preserve"> en habilidades técnicas alineadas con las demandas del mercado.</w:t>
      </w:r>
    </w:p>
    <w:p w14:paraId="4A185D5E" w14:textId="77777777" w:rsidR="00F92A53" w:rsidRPr="008F3375" w:rsidRDefault="00F92A53" w:rsidP="0055486F">
      <w:pPr>
        <w:numPr>
          <w:ilvl w:val="0"/>
          <w:numId w:val="35"/>
        </w:numPr>
        <w:jc w:val="both"/>
        <w:rPr>
          <w:rFonts w:ascii="Garamond" w:hAnsi="Garamond" w:cstheme="minorBidi"/>
          <w:sz w:val="24"/>
          <w:szCs w:val="24"/>
        </w:rPr>
      </w:pPr>
      <w:r w:rsidRPr="008F3375">
        <w:rPr>
          <w:rFonts w:ascii="Garamond" w:hAnsi="Garamond" w:cstheme="minorBidi"/>
          <w:bCs/>
          <w:sz w:val="24"/>
          <w:szCs w:val="24"/>
        </w:rPr>
        <w:t>Talleres de empleabilidad</w:t>
      </w:r>
      <w:r w:rsidRPr="008F3375">
        <w:rPr>
          <w:rFonts w:ascii="Garamond" w:hAnsi="Garamond" w:cstheme="minorBidi"/>
          <w:sz w:val="24"/>
          <w:szCs w:val="24"/>
        </w:rPr>
        <w:t>, incluyendo elaboración de hojas de vida y simulaciones de entrevistas.</w:t>
      </w:r>
    </w:p>
    <w:p w14:paraId="23C2CD98" w14:textId="77777777" w:rsidR="00F92A53" w:rsidRPr="008F3375" w:rsidRDefault="00F92A53" w:rsidP="0055486F">
      <w:pPr>
        <w:numPr>
          <w:ilvl w:val="0"/>
          <w:numId w:val="35"/>
        </w:numPr>
        <w:jc w:val="both"/>
        <w:rPr>
          <w:rFonts w:ascii="Garamond" w:hAnsi="Garamond" w:cstheme="minorBidi"/>
          <w:sz w:val="24"/>
          <w:szCs w:val="24"/>
        </w:rPr>
      </w:pPr>
      <w:r w:rsidRPr="008F3375">
        <w:rPr>
          <w:rFonts w:ascii="Garamond" w:hAnsi="Garamond" w:cstheme="minorBidi"/>
          <w:bCs/>
          <w:sz w:val="24"/>
          <w:szCs w:val="24"/>
        </w:rPr>
        <w:t>Redes de contacto y mentoría con empresarios y egresados</w:t>
      </w:r>
      <w:r w:rsidRPr="008F3375">
        <w:rPr>
          <w:rFonts w:ascii="Garamond" w:hAnsi="Garamond" w:cstheme="minorBidi"/>
          <w:sz w:val="24"/>
          <w:szCs w:val="24"/>
        </w:rPr>
        <w:t>, promoviendo oportunidades de inserción laboral.</w:t>
      </w:r>
    </w:p>
    <w:p w14:paraId="03561005" w14:textId="77777777" w:rsidR="00F92A53" w:rsidRPr="008F3375" w:rsidRDefault="00F92A53" w:rsidP="0055486F">
      <w:pPr>
        <w:numPr>
          <w:ilvl w:val="0"/>
          <w:numId w:val="35"/>
        </w:numPr>
        <w:jc w:val="both"/>
        <w:rPr>
          <w:rFonts w:ascii="Garamond" w:hAnsi="Garamond" w:cstheme="minorBidi"/>
          <w:sz w:val="24"/>
          <w:szCs w:val="24"/>
        </w:rPr>
      </w:pPr>
    </w:p>
    <w:p w14:paraId="17B15474"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t xml:space="preserve">Esta estrategia integral, respaldada por una </w:t>
      </w:r>
      <w:r w:rsidRPr="008F3375">
        <w:rPr>
          <w:rFonts w:ascii="Garamond" w:hAnsi="Garamond" w:cstheme="minorBidi"/>
          <w:bCs/>
          <w:sz w:val="24"/>
          <w:szCs w:val="24"/>
        </w:rPr>
        <w:t>gestión articulada entre la Agencia Atenea, las IES, los Fondos de Desarrollo Local y otras entidades distritales</w:t>
      </w:r>
      <w:r w:rsidRPr="008F3375">
        <w:rPr>
          <w:rFonts w:ascii="Garamond" w:hAnsi="Garamond" w:cstheme="minorBidi"/>
          <w:sz w:val="24"/>
          <w:szCs w:val="24"/>
        </w:rPr>
        <w:t>, busca consolidar un ecosistema de apoyo educativo que garantice la permanencia de los estudiantes y el impacto social de la educación como motor de desarrollo en la ciudad de Bogotá.</w:t>
      </w:r>
    </w:p>
    <w:p w14:paraId="0901A84E" w14:textId="77777777" w:rsidR="00F92A53" w:rsidRPr="008F3375" w:rsidRDefault="00F92A53" w:rsidP="00F92A53">
      <w:pPr>
        <w:jc w:val="both"/>
        <w:rPr>
          <w:rFonts w:ascii="Garamond" w:hAnsi="Garamond" w:cstheme="minorBidi"/>
          <w:sz w:val="24"/>
          <w:szCs w:val="24"/>
        </w:rPr>
      </w:pPr>
    </w:p>
    <w:p w14:paraId="1FA27ABA" w14:textId="77777777" w:rsidR="00F92A53" w:rsidRPr="008F3375" w:rsidRDefault="00F92A53" w:rsidP="00F92A53">
      <w:pPr>
        <w:jc w:val="both"/>
        <w:rPr>
          <w:rFonts w:ascii="Garamond" w:hAnsi="Garamond" w:cstheme="minorBidi"/>
          <w:sz w:val="24"/>
          <w:szCs w:val="24"/>
        </w:rPr>
      </w:pPr>
      <w:r w:rsidRPr="008F3375">
        <w:rPr>
          <w:rFonts w:ascii="Garamond" w:hAnsi="Garamond" w:cstheme="minorBidi"/>
          <w:sz w:val="24"/>
          <w:szCs w:val="24"/>
        </w:rPr>
        <w:t>La deserción de los jóvenes a la Educación Superior es un fenómeno latente en el país, es así como diferentes Entidades han emitido documentos técnicos que analizan dicho fenómeno, en este sentido el Ministerio de Educación expidió el “Documento técnico – Deserción en las Instituciones de Educación Superior - SPADIES 3.0.- Min Educación” y la Agencia Atenea expidió la Nota -Deserción en la Educación Superior en Bogotá – Obstáculos y Alternativas. Los mencionados documentos se adjuntan al presente anexo técnico.</w:t>
      </w:r>
    </w:p>
    <w:p w14:paraId="0E19BC54" w14:textId="44460DC4" w:rsidR="00F92A53" w:rsidRDefault="00F92A53" w:rsidP="007367AF">
      <w:pPr>
        <w:jc w:val="both"/>
        <w:rPr>
          <w:rFonts w:ascii="Garamond" w:hAnsi="Garamond" w:cstheme="minorBidi"/>
          <w:b/>
          <w:sz w:val="24"/>
          <w:szCs w:val="24"/>
        </w:rPr>
      </w:pPr>
    </w:p>
    <w:p w14:paraId="4FD60565" w14:textId="2B0BEB20" w:rsidR="00F92A53" w:rsidRPr="00F92A53" w:rsidRDefault="006A2814" w:rsidP="0055486F">
      <w:pPr>
        <w:pStyle w:val="Prrafodelista"/>
        <w:numPr>
          <w:ilvl w:val="2"/>
          <w:numId w:val="43"/>
        </w:numPr>
        <w:jc w:val="both"/>
        <w:rPr>
          <w:rFonts w:ascii="Garamond" w:hAnsi="Garamond" w:cstheme="minorHAnsi"/>
          <w:b/>
          <w:bCs/>
          <w:sz w:val="24"/>
          <w:szCs w:val="24"/>
        </w:rPr>
      </w:pPr>
      <w:r w:rsidRPr="00F92A53">
        <w:rPr>
          <w:rFonts w:ascii="Garamond" w:hAnsi="Garamond" w:cstheme="minorHAnsi"/>
          <w:b/>
          <w:bCs/>
          <w:sz w:val="24"/>
          <w:szCs w:val="24"/>
        </w:rPr>
        <w:t>Condiciones y especificaciones técnicas para el desarrollo de programas de educación posmedia</w:t>
      </w:r>
      <w:r w:rsidR="00626C07" w:rsidRPr="00F92A53">
        <w:rPr>
          <w:rFonts w:ascii="Garamond" w:hAnsi="Garamond" w:cstheme="minorHAnsi"/>
          <w:b/>
          <w:bCs/>
          <w:sz w:val="24"/>
          <w:szCs w:val="24"/>
        </w:rPr>
        <w:t xml:space="preserve"> </w:t>
      </w:r>
    </w:p>
    <w:p w14:paraId="49ECC337" w14:textId="77777777" w:rsidR="00816A29" w:rsidRPr="00460922" w:rsidRDefault="00816A29" w:rsidP="00816A29">
      <w:pPr>
        <w:pStyle w:val="Prrafodelista"/>
        <w:spacing w:after="0" w:line="240" w:lineRule="auto"/>
        <w:ind w:left="1080"/>
        <w:jc w:val="both"/>
        <w:rPr>
          <w:rFonts w:cstheme="minorHAnsi"/>
          <w:sz w:val="24"/>
          <w:szCs w:val="24"/>
        </w:rPr>
      </w:pPr>
    </w:p>
    <w:p w14:paraId="0239208C" w14:textId="0EE32580" w:rsidR="006A2814" w:rsidRPr="00F92A53" w:rsidRDefault="006A2814" w:rsidP="0055486F">
      <w:pPr>
        <w:pStyle w:val="Prrafodelista"/>
        <w:numPr>
          <w:ilvl w:val="3"/>
          <w:numId w:val="43"/>
        </w:numPr>
        <w:jc w:val="both"/>
        <w:rPr>
          <w:rFonts w:ascii="Garamond" w:hAnsi="Garamond" w:cstheme="minorHAnsi"/>
          <w:b/>
          <w:sz w:val="24"/>
          <w:szCs w:val="24"/>
        </w:rPr>
      </w:pPr>
      <w:r w:rsidRPr="00F92A53">
        <w:rPr>
          <w:rFonts w:ascii="Garamond" w:hAnsi="Garamond" w:cstheme="minorHAnsi"/>
          <w:b/>
          <w:sz w:val="24"/>
          <w:szCs w:val="24"/>
        </w:rPr>
        <w:t>Especificaciones técnicas del Programa Jóvenes a la E</w:t>
      </w:r>
    </w:p>
    <w:p w14:paraId="64A25587" w14:textId="7A9E2D68" w:rsidR="006A2814" w:rsidRPr="006A2814" w:rsidRDefault="006A2814" w:rsidP="0055486F">
      <w:pPr>
        <w:numPr>
          <w:ilvl w:val="0"/>
          <w:numId w:val="22"/>
        </w:numPr>
        <w:jc w:val="both"/>
        <w:rPr>
          <w:rFonts w:ascii="Garamond" w:hAnsi="Garamond" w:cstheme="minorHAnsi"/>
          <w:sz w:val="24"/>
          <w:szCs w:val="24"/>
        </w:rPr>
      </w:pPr>
      <w:bookmarkStart w:id="8" w:name="_Toc1182535908"/>
      <w:r w:rsidRPr="006A2814">
        <w:rPr>
          <w:rFonts w:ascii="Garamond" w:hAnsi="Garamond" w:cstheme="minorHAnsi"/>
          <w:b/>
          <w:sz w:val="24"/>
          <w:szCs w:val="24"/>
        </w:rPr>
        <w:t>Manuales Operativos de Jóvenes a la E.</w:t>
      </w:r>
      <w:bookmarkEnd w:id="8"/>
      <w:r w:rsidRPr="006A2814">
        <w:rPr>
          <w:rFonts w:ascii="Garamond" w:hAnsi="Garamond" w:cstheme="minorHAnsi"/>
          <w:b/>
          <w:sz w:val="24"/>
          <w:szCs w:val="24"/>
        </w:rPr>
        <w:t xml:space="preserve"> </w:t>
      </w:r>
    </w:p>
    <w:p w14:paraId="2140DA75" w14:textId="77777777" w:rsidR="006A2814" w:rsidRPr="006A2814" w:rsidRDefault="006A2814" w:rsidP="006A2814">
      <w:pPr>
        <w:ind w:left="720"/>
        <w:jc w:val="both"/>
        <w:rPr>
          <w:rFonts w:ascii="Garamond" w:hAnsi="Garamond" w:cstheme="minorHAnsi"/>
          <w:sz w:val="24"/>
          <w:szCs w:val="24"/>
        </w:rPr>
      </w:pPr>
    </w:p>
    <w:p w14:paraId="42B7FE80" w14:textId="77777777" w:rsidR="006A2814" w:rsidRPr="006A2814" w:rsidRDefault="006A2814" w:rsidP="006A2814">
      <w:pPr>
        <w:jc w:val="both"/>
        <w:rPr>
          <w:rFonts w:ascii="Garamond" w:hAnsi="Garamond" w:cstheme="minorHAnsi"/>
          <w:sz w:val="24"/>
          <w:szCs w:val="24"/>
        </w:rPr>
      </w:pPr>
      <w:r w:rsidRPr="006A2814">
        <w:rPr>
          <w:rFonts w:ascii="Garamond" w:hAnsi="Garamond" w:cstheme="minorHAnsi"/>
          <w:sz w:val="24"/>
          <w:szCs w:val="24"/>
        </w:rPr>
        <w:t xml:space="preserve">Están dirigido a las entidades y personas que participan en el programa “Jóvenes a la E” en sus capítulos de educación superior y de educación y formación para el trabajo. Las disposiciones contenidas en estos Manuales son vinculantes y se deben interpretar integralmente junto con los demás </w:t>
      </w:r>
      <w:r w:rsidRPr="006A2814">
        <w:rPr>
          <w:rFonts w:ascii="Garamond" w:hAnsi="Garamond" w:cstheme="minorHAnsi"/>
          <w:sz w:val="24"/>
          <w:szCs w:val="24"/>
        </w:rPr>
        <w:lastRenderedPageBreak/>
        <w:t>lineamientos, procedimientos y convenios suscritos con las Instituciones de Educación Superior e Instituciones de Educación para el Trabajo y el Desarrollo Humano para la ejecución del Programa. Durante la ejecución del convenio pueden emitirse modificaciones las cuales deben tenerse en cuenta.</w:t>
      </w:r>
    </w:p>
    <w:p w14:paraId="27AB58E8" w14:textId="77777777" w:rsidR="006A2814" w:rsidRPr="006A2814" w:rsidRDefault="006A2814" w:rsidP="006A2814">
      <w:pPr>
        <w:jc w:val="both"/>
        <w:rPr>
          <w:rFonts w:ascii="Garamond" w:hAnsi="Garamond" w:cstheme="minorHAnsi"/>
          <w:sz w:val="24"/>
          <w:szCs w:val="24"/>
        </w:rPr>
      </w:pPr>
    </w:p>
    <w:p w14:paraId="737E7F0A" w14:textId="132F966B" w:rsidR="006A2814" w:rsidRDefault="006A2814" w:rsidP="0055486F">
      <w:pPr>
        <w:numPr>
          <w:ilvl w:val="1"/>
          <w:numId w:val="20"/>
        </w:numPr>
        <w:jc w:val="both"/>
        <w:rPr>
          <w:rFonts w:ascii="Garamond" w:hAnsi="Garamond" w:cstheme="minorHAnsi"/>
          <w:b/>
          <w:sz w:val="24"/>
          <w:szCs w:val="24"/>
        </w:rPr>
      </w:pPr>
      <w:bookmarkStart w:id="9" w:name="_Toc782416615"/>
      <w:r w:rsidRPr="006A2814">
        <w:rPr>
          <w:rFonts w:ascii="Garamond" w:hAnsi="Garamond" w:cstheme="minorHAnsi"/>
          <w:b/>
          <w:sz w:val="24"/>
          <w:szCs w:val="24"/>
        </w:rPr>
        <w:t>Guía de dispersión de apoyos económicos</w:t>
      </w:r>
      <w:bookmarkEnd w:id="9"/>
      <w:r w:rsidRPr="006A2814">
        <w:rPr>
          <w:rFonts w:ascii="Garamond" w:hAnsi="Garamond" w:cstheme="minorHAnsi"/>
          <w:b/>
          <w:sz w:val="24"/>
          <w:szCs w:val="24"/>
        </w:rPr>
        <w:t xml:space="preserve"> </w:t>
      </w:r>
    </w:p>
    <w:p w14:paraId="23AA2FDC" w14:textId="77777777" w:rsidR="000431DC" w:rsidRPr="006A2814" w:rsidRDefault="000431DC" w:rsidP="000431DC">
      <w:pPr>
        <w:ind w:left="720"/>
        <w:jc w:val="both"/>
        <w:rPr>
          <w:rFonts w:ascii="Garamond" w:hAnsi="Garamond" w:cstheme="minorHAnsi"/>
          <w:b/>
          <w:sz w:val="24"/>
          <w:szCs w:val="24"/>
        </w:rPr>
      </w:pPr>
    </w:p>
    <w:p w14:paraId="56DC9CC4" w14:textId="77777777" w:rsidR="006A2814" w:rsidRPr="006A2814" w:rsidRDefault="006A2814" w:rsidP="006A2814">
      <w:pPr>
        <w:jc w:val="both"/>
        <w:rPr>
          <w:rFonts w:ascii="Garamond" w:hAnsi="Garamond" w:cstheme="minorHAnsi"/>
          <w:i/>
          <w:iCs/>
          <w:sz w:val="24"/>
          <w:szCs w:val="24"/>
        </w:rPr>
      </w:pPr>
      <w:r w:rsidRPr="006A2814">
        <w:rPr>
          <w:rFonts w:ascii="Garamond" w:hAnsi="Garamond" w:cstheme="minorHAnsi"/>
          <w:sz w:val="24"/>
          <w:szCs w:val="24"/>
        </w:rPr>
        <w:t xml:space="preserve">Las fases, los tiempos y las condiciones de gestión para realizar las dispersiones de apoyos económicos se explica en detalle en la guía operativa dispersión de apoyos económicos que está publicada y puede ser consultada en </w:t>
      </w:r>
      <w:hyperlink r:id="rId19" w:history="1">
        <w:r w:rsidRPr="006A2814">
          <w:rPr>
            <w:rStyle w:val="Hipervnculo"/>
            <w:rFonts w:ascii="Garamond" w:hAnsi="Garamond" w:cstheme="minorHAnsi"/>
            <w:sz w:val="24"/>
            <w:szCs w:val="24"/>
          </w:rPr>
          <w:t>https://agenciaatenea.gov.co/transparencia-acceso-informacion-publica/1-informacion-de-la-entidad/13-mapas-y-cartas-descriptivas-de-los-procesos-2023/g2ep-guia-operativa-dispersion-de-apoyos-economicos-0</w:t>
        </w:r>
      </w:hyperlink>
      <w:r w:rsidRPr="006A2814">
        <w:rPr>
          <w:rFonts w:ascii="Garamond" w:hAnsi="Garamond" w:cstheme="minorHAnsi"/>
          <w:sz w:val="24"/>
          <w:szCs w:val="24"/>
          <w:u w:val="single"/>
        </w:rPr>
        <w:t xml:space="preserve"> </w:t>
      </w:r>
      <w:r w:rsidRPr="006A2814">
        <w:rPr>
          <w:rFonts w:ascii="Garamond" w:hAnsi="Garamond" w:cstheme="minorHAnsi"/>
          <w:i/>
          <w:iCs/>
          <w:sz w:val="24"/>
          <w:szCs w:val="24"/>
        </w:rPr>
        <w:t xml:space="preserve">(en caso que el enlace no abra automáticamente por favor cópielo y péguelo en el navegador para ser direccionado). </w:t>
      </w:r>
    </w:p>
    <w:p w14:paraId="6876E80A" w14:textId="77777777" w:rsidR="006A2814" w:rsidRPr="006A2814" w:rsidRDefault="006A2814" w:rsidP="006A2814">
      <w:pPr>
        <w:jc w:val="both"/>
        <w:rPr>
          <w:rFonts w:ascii="Garamond" w:hAnsi="Garamond" w:cstheme="minorHAnsi"/>
          <w:sz w:val="24"/>
          <w:szCs w:val="24"/>
        </w:rPr>
      </w:pPr>
    </w:p>
    <w:p w14:paraId="34B0A37F" w14:textId="7347C38C" w:rsidR="006A2814" w:rsidRDefault="006A2814" w:rsidP="006A2814">
      <w:pPr>
        <w:jc w:val="both"/>
        <w:rPr>
          <w:rFonts w:ascii="Garamond" w:hAnsi="Garamond" w:cstheme="minorHAnsi"/>
          <w:sz w:val="24"/>
          <w:szCs w:val="24"/>
        </w:rPr>
      </w:pPr>
      <w:r w:rsidRPr="006A2814">
        <w:rPr>
          <w:rFonts w:ascii="Garamond" w:hAnsi="Garamond" w:cstheme="minorHAnsi"/>
          <w:sz w:val="24"/>
          <w:szCs w:val="24"/>
        </w:rPr>
        <w:t>Las disposiciones contenidas en esta guía son vinculantes y se deben interpretar integralmente junto con los demás lineamientos, procedimientos. Durante la ejecución del convenio pueden emitirse modificaciones las cuales deben tenerse en cuenta.</w:t>
      </w:r>
    </w:p>
    <w:p w14:paraId="2325B404" w14:textId="77777777" w:rsidR="000431DC" w:rsidRPr="006A2814" w:rsidRDefault="000431DC" w:rsidP="006A2814">
      <w:pPr>
        <w:jc w:val="both"/>
        <w:rPr>
          <w:rFonts w:ascii="Garamond" w:hAnsi="Garamond" w:cstheme="minorHAnsi"/>
          <w:sz w:val="24"/>
          <w:szCs w:val="24"/>
        </w:rPr>
      </w:pPr>
    </w:p>
    <w:p w14:paraId="136DD4EE" w14:textId="2DEDB0F8" w:rsidR="006A2814" w:rsidRPr="00DA233A" w:rsidRDefault="000431DC" w:rsidP="0055486F">
      <w:pPr>
        <w:pStyle w:val="Prrafodelista"/>
        <w:numPr>
          <w:ilvl w:val="3"/>
          <w:numId w:val="43"/>
        </w:numPr>
        <w:jc w:val="both"/>
        <w:rPr>
          <w:rFonts w:ascii="Garamond" w:hAnsi="Garamond" w:cstheme="minorHAnsi"/>
          <w:b/>
          <w:sz w:val="24"/>
          <w:szCs w:val="24"/>
        </w:rPr>
      </w:pPr>
      <w:r>
        <w:rPr>
          <w:rFonts w:ascii="Garamond" w:hAnsi="Garamond" w:cstheme="minorHAnsi"/>
          <w:b/>
          <w:sz w:val="24"/>
          <w:szCs w:val="24"/>
        </w:rPr>
        <w:t>E</w:t>
      </w:r>
      <w:r w:rsidRPr="000431DC">
        <w:rPr>
          <w:rFonts w:ascii="Garamond" w:hAnsi="Garamond" w:cstheme="minorHAnsi"/>
          <w:b/>
          <w:sz w:val="24"/>
          <w:szCs w:val="24"/>
        </w:rPr>
        <w:t>specificaciones técnicas del p</w:t>
      </w:r>
      <w:r>
        <w:rPr>
          <w:rFonts w:ascii="Garamond" w:hAnsi="Garamond" w:cstheme="minorHAnsi"/>
          <w:b/>
          <w:sz w:val="24"/>
          <w:szCs w:val="24"/>
        </w:rPr>
        <w:t>rograma la Universidad en tu C</w:t>
      </w:r>
      <w:r w:rsidRPr="000431DC">
        <w:rPr>
          <w:rFonts w:ascii="Garamond" w:hAnsi="Garamond" w:cstheme="minorHAnsi"/>
          <w:b/>
          <w:sz w:val="24"/>
          <w:szCs w:val="24"/>
        </w:rPr>
        <w:t xml:space="preserve">olegio </w:t>
      </w:r>
    </w:p>
    <w:p w14:paraId="778E606F" w14:textId="1988D822" w:rsidR="006A2814" w:rsidRPr="00DA233A" w:rsidRDefault="006A2814" w:rsidP="0055486F">
      <w:pPr>
        <w:numPr>
          <w:ilvl w:val="0"/>
          <w:numId w:val="22"/>
        </w:numPr>
        <w:jc w:val="both"/>
        <w:rPr>
          <w:rFonts w:ascii="Garamond" w:hAnsi="Garamond" w:cstheme="minorHAnsi"/>
          <w:sz w:val="24"/>
          <w:szCs w:val="24"/>
        </w:rPr>
      </w:pPr>
      <w:r w:rsidRPr="006A2814">
        <w:rPr>
          <w:rFonts w:ascii="Garamond" w:hAnsi="Garamond" w:cstheme="minorHAnsi"/>
          <w:b/>
          <w:sz w:val="24"/>
          <w:szCs w:val="24"/>
        </w:rPr>
        <w:t>Manuales Operativos</w:t>
      </w:r>
    </w:p>
    <w:p w14:paraId="31D85EE1" w14:textId="77777777" w:rsidR="00DA233A" w:rsidRPr="006A2814" w:rsidRDefault="00DA233A" w:rsidP="00DA233A">
      <w:pPr>
        <w:ind w:left="720"/>
        <w:jc w:val="both"/>
        <w:rPr>
          <w:rFonts w:ascii="Garamond" w:hAnsi="Garamond" w:cstheme="minorHAnsi"/>
          <w:sz w:val="24"/>
          <w:szCs w:val="24"/>
        </w:rPr>
      </w:pPr>
    </w:p>
    <w:p w14:paraId="2C168873" w14:textId="4D2232E7" w:rsidR="006A2814" w:rsidRDefault="006A2814" w:rsidP="006A2814">
      <w:pPr>
        <w:jc w:val="both"/>
        <w:rPr>
          <w:rFonts w:ascii="Garamond" w:hAnsi="Garamond" w:cstheme="minorHAnsi"/>
          <w:sz w:val="24"/>
          <w:szCs w:val="24"/>
        </w:rPr>
      </w:pPr>
      <w:r w:rsidRPr="006A2814">
        <w:rPr>
          <w:rFonts w:ascii="Garamond" w:hAnsi="Garamond" w:cstheme="minorHAnsi"/>
          <w:sz w:val="24"/>
          <w:szCs w:val="24"/>
        </w:rPr>
        <w:t>Dirigido a los diferentes actores que participan en la estrategia La U en tu Colegio, a saber: Instituciones de Educación Superior (IES), Instituciones Educativas Distritales (IED), Secretaría de Educación del Distrito (SED), estudiantes beneficiarios, familias, aliados estratégicos, la Agencia Distrital para la Educación Superior, la Ciencia y la Tecnología- ATENEA y la ciudadanía en general. Durante la ejecución del convenio pueden emitirse modificaciones las cuales deben tenerse en cuenta. Así mismo, el programa cuenta con lineamientos operativos y otros procedimientos técnicos que se actualizan periódicamente en función de las necesidades técnicas, jurídicas y operativas del programa.</w:t>
      </w:r>
    </w:p>
    <w:p w14:paraId="3407A235" w14:textId="77777777" w:rsidR="00DA233A" w:rsidRPr="006A2814" w:rsidRDefault="00DA233A" w:rsidP="006A2814">
      <w:pPr>
        <w:jc w:val="both"/>
        <w:rPr>
          <w:rFonts w:ascii="Garamond" w:hAnsi="Garamond" w:cstheme="minorHAnsi"/>
          <w:sz w:val="24"/>
          <w:szCs w:val="24"/>
        </w:rPr>
      </w:pPr>
    </w:p>
    <w:p w14:paraId="1F5820FA" w14:textId="52D735AF" w:rsidR="006A2814" w:rsidRPr="00EE0DE7" w:rsidRDefault="000617F1" w:rsidP="00EE0DE7">
      <w:pPr>
        <w:pStyle w:val="Prrafodelista"/>
        <w:numPr>
          <w:ilvl w:val="3"/>
          <w:numId w:val="43"/>
        </w:numPr>
        <w:jc w:val="both"/>
        <w:rPr>
          <w:rFonts w:ascii="Garamond" w:hAnsi="Garamond" w:cstheme="minorHAnsi"/>
          <w:b/>
          <w:sz w:val="24"/>
          <w:szCs w:val="24"/>
        </w:rPr>
      </w:pPr>
      <w:r w:rsidRPr="00EE0DE7">
        <w:rPr>
          <w:rFonts w:ascii="Garamond" w:hAnsi="Garamond" w:cstheme="minorHAnsi"/>
          <w:b/>
          <w:sz w:val="24"/>
          <w:szCs w:val="24"/>
        </w:rPr>
        <w:t xml:space="preserve">Especificaciones técnicas del programa Talento Capital Formación </w:t>
      </w:r>
    </w:p>
    <w:p w14:paraId="12F5D431" w14:textId="131BA2EE" w:rsidR="006A2814" w:rsidRPr="000617F1" w:rsidRDefault="006A2814" w:rsidP="0055486F">
      <w:pPr>
        <w:numPr>
          <w:ilvl w:val="0"/>
          <w:numId w:val="22"/>
        </w:numPr>
        <w:jc w:val="both"/>
        <w:rPr>
          <w:rFonts w:ascii="Garamond" w:hAnsi="Garamond" w:cstheme="minorHAnsi"/>
          <w:sz w:val="24"/>
          <w:szCs w:val="24"/>
        </w:rPr>
      </w:pPr>
      <w:r w:rsidRPr="006A2814">
        <w:rPr>
          <w:rFonts w:ascii="Garamond" w:hAnsi="Garamond" w:cstheme="minorHAnsi"/>
          <w:b/>
          <w:sz w:val="24"/>
          <w:szCs w:val="24"/>
        </w:rPr>
        <w:t>Manuales Operativos</w:t>
      </w:r>
    </w:p>
    <w:p w14:paraId="26463790" w14:textId="77777777" w:rsidR="000617F1" w:rsidRPr="006A2814" w:rsidRDefault="000617F1" w:rsidP="000617F1">
      <w:pPr>
        <w:ind w:left="720"/>
        <w:jc w:val="both"/>
        <w:rPr>
          <w:rFonts w:ascii="Garamond" w:hAnsi="Garamond" w:cstheme="minorHAnsi"/>
          <w:sz w:val="24"/>
          <w:szCs w:val="24"/>
        </w:rPr>
      </w:pPr>
    </w:p>
    <w:p w14:paraId="7BDA0635" w14:textId="77777777" w:rsidR="006A2814" w:rsidRPr="006A2814" w:rsidRDefault="006A2814" w:rsidP="006A2814">
      <w:pPr>
        <w:jc w:val="both"/>
        <w:rPr>
          <w:rFonts w:ascii="Garamond" w:hAnsi="Garamond" w:cstheme="minorHAnsi"/>
          <w:sz w:val="24"/>
          <w:szCs w:val="24"/>
        </w:rPr>
      </w:pPr>
      <w:r w:rsidRPr="006A2814">
        <w:rPr>
          <w:rFonts w:ascii="Garamond" w:hAnsi="Garamond" w:cstheme="minorHAnsi"/>
          <w:sz w:val="24"/>
          <w:szCs w:val="24"/>
        </w:rPr>
        <w:t xml:space="preserve">Dirigido a las entidades y personas que participan en el Programa: Aliados, cooperantes, oferentes, operadores de formación, aspirantes, elegibles, beneficiarios, funcionarios de la Agencia Distrital para la Educación Superior, la Ciencia y la Tecnología Atenea, y la ciudadanía en general. Durante la ejecución del convenio pueden emitirse modificaciones las cuales deben tenerse en cuenta. Así mismo, </w:t>
      </w:r>
      <w:r w:rsidRPr="006A2814">
        <w:rPr>
          <w:rFonts w:ascii="Garamond" w:hAnsi="Garamond" w:cstheme="minorHAnsi"/>
          <w:sz w:val="24"/>
          <w:szCs w:val="24"/>
        </w:rPr>
        <w:lastRenderedPageBreak/>
        <w:t>el programa cuenta con lineamientos operativos y otros procedimientos técnicos que se actualizan periódicamente en función de las necesidades técnicas, jurídicas y operativas del programa.</w:t>
      </w:r>
    </w:p>
    <w:p w14:paraId="762D181C" w14:textId="77777777" w:rsidR="006A2814" w:rsidRPr="006A2814" w:rsidRDefault="006A2814" w:rsidP="006A2814">
      <w:pPr>
        <w:jc w:val="both"/>
        <w:rPr>
          <w:rFonts w:ascii="Garamond" w:hAnsi="Garamond" w:cstheme="minorHAnsi"/>
          <w:sz w:val="24"/>
          <w:szCs w:val="24"/>
        </w:rPr>
      </w:pPr>
    </w:p>
    <w:p w14:paraId="3B02E9ED" w14:textId="08CA52E9" w:rsidR="006A2814" w:rsidRDefault="006A2814" w:rsidP="0055486F">
      <w:pPr>
        <w:numPr>
          <w:ilvl w:val="1"/>
          <w:numId w:val="20"/>
        </w:numPr>
        <w:jc w:val="both"/>
        <w:rPr>
          <w:rFonts w:ascii="Garamond" w:hAnsi="Garamond" w:cstheme="minorHAnsi"/>
          <w:b/>
          <w:sz w:val="24"/>
          <w:szCs w:val="24"/>
        </w:rPr>
      </w:pPr>
      <w:bookmarkStart w:id="10" w:name="_Toc429796448"/>
      <w:r w:rsidRPr="006A2814">
        <w:rPr>
          <w:rFonts w:ascii="Garamond" w:hAnsi="Garamond" w:cstheme="minorHAnsi"/>
          <w:b/>
          <w:sz w:val="24"/>
          <w:szCs w:val="24"/>
        </w:rPr>
        <w:t xml:space="preserve">Procedimiento para la Asignación de la Fuente de Financiación con los Recursos del Fondo de desarrollo Local </w:t>
      </w:r>
      <w:bookmarkEnd w:id="10"/>
    </w:p>
    <w:p w14:paraId="54DB5B15" w14:textId="77777777" w:rsidR="00E21216" w:rsidRPr="006A2814" w:rsidRDefault="00E21216" w:rsidP="00E21216">
      <w:pPr>
        <w:ind w:left="720"/>
        <w:jc w:val="both"/>
        <w:rPr>
          <w:rFonts w:ascii="Garamond" w:hAnsi="Garamond" w:cstheme="minorHAnsi"/>
          <w:b/>
          <w:sz w:val="24"/>
          <w:szCs w:val="24"/>
        </w:rPr>
      </w:pPr>
    </w:p>
    <w:p w14:paraId="79D4F765" w14:textId="77777777" w:rsidR="006A2814" w:rsidRPr="006A2814" w:rsidRDefault="006A2814" w:rsidP="006A2814">
      <w:pPr>
        <w:jc w:val="both"/>
        <w:rPr>
          <w:rFonts w:ascii="Garamond" w:hAnsi="Garamond" w:cstheme="minorHAnsi"/>
          <w:sz w:val="24"/>
          <w:szCs w:val="24"/>
        </w:rPr>
      </w:pPr>
      <w:r w:rsidRPr="006A2814">
        <w:rPr>
          <w:rFonts w:ascii="Garamond" w:hAnsi="Garamond" w:cstheme="minorHAnsi"/>
          <w:sz w:val="24"/>
          <w:szCs w:val="24"/>
        </w:rPr>
        <w:t>Para participar en la convocatoria, los aspirantes deben cargar el certificado de residencia expedido por la Secretaría de Gobierno o un recibo de servicio público. Con esta información, el sistema de inscripciones de la Agencia identifica la dirección y la localidad del joven, procediendo a realizar la correspondiente asignación de fuente de financiación (FDL). Al respecto, es importante señalar que la información que registran los aspirantes en su inscripción se entiende allegada bajo la gravedad de juramento como se describe en el lineamiento operativo de las convocatorias y por tanto debe tratarse bajo el principio de la buena fe.</w:t>
      </w:r>
    </w:p>
    <w:p w14:paraId="7A23D6C6" w14:textId="77777777" w:rsidR="006A2814" w:rsidRPr="006A2814" w:rsidRDefault="006A2814" w:rsidP="006A2814">
      <w:pPr>
        <w:jc w:val="both"/>
        <w:rPr>
          <w:rFonts w:ascii="Garamond" w:hAnsi="Garamond" w:cstheme="minorHAnsi"/>
          <w:sz w:val="24"/>
          <w:szCs w:val="24"/>
        </w:rPr>
      </w:pPr>
    </w:p>
    <w:p w14:paraId="4BF35826" w14:textId="77777777" w:rsidR="006A2814" w:rsidRPr="006A2814" w:rsidRDefault="006A2814" w:rsidP="006A2814">
      <w:pPr>
        <w:jc w:val="both"/>
        <w:rPr>
          <w:rFonts w:ascii="Garamond" w:hAnsi="Garamond" w:cstheme="minorHAnsi"/>
          <w:sz w:val="24"/>
          <w:szCs w:val="24"/>
        </w:rPr>
      </w:pPr>
      <w:r w:rsidRPr="006A2814">
        <w:rPr>
          <w:rFonts w:ascii="Garamond" w:hAnsi="Garamond" w:cstheme="minorHAnsi"/>
          <w:sz w:val="24"/>
          <w:szCs w:val="24"/>
        </w:rPr>
        <w:t xml:space="preserve">La Agencia Atenea debe cumplir con las metas suscritas en el convenio con el FDL y es quien conoce las condiciones contractuales pactadas con las instituciones, en este orden de ideas y teniendo el conocimiento técnico y financiero, es quien debe validar y asignar la fuente de financiación. </w:t>
      </w:r>
    </w:p>
    <w:p w14:paraId="51898B23" w14:textId="77777777" w:rsidR="006A2814" w:rsidRPr="006A2814" w:rsidRDefault="006A2814" w:rsidP="006A2814">
      <w:pPr>
        <w:jc w:val="both"/>
        <w:rPr>
          <w:rFonts w:ascii="Garamond" w:hAnsi="Garamond" w:cstheme="minorHAnsi"/>
          <w:sz w:val="24"/>
          <w:szCs w:val="24"/>
        </w:rPr>
      </w:pPr>
    </w:p>
    <w:p w14:paraId="24AB95AF" w14:textId="77777777" w:rsidR="006A2814" w:rsidRPr="006A2814" w:rsidRDefault="006A2814" w:rsidP="006A2814">
      <w:pPr>
        <w:jc w:val="both"/>
        <w:rPr>
          <w:rFonts w:ascii="Garamond" w:hAnsi="Garamond" w:cstheme="minorHAnsi"/>
          <w:sz w:val="24"/>
          <w:szCs w:val="24"/>
        </w:rPr>
      </w:pPr>
      <w:r w:rsidRPr="006A2814">
        <w:rPr>
          <w:rFonts w:ascii="Garamond" w:hAnsi="Garamond" w:cstheme="minorHAnsi"/>
          <w:sz w:val="24"/>
          <w:szCs w:val="24"/>
        </w:rPr>
        <w:t>Lo anterior, en virtud de la mejora continua que para este proceso ha adelantado la Agencia en el desarrollo de su experticia, buscando facilitar operativa y técnicamente el uso de los recursos proporcionados por los Fondos de Desarrollo Local u otras entidades que aportan financiación de los programas, por ejemplo, tal y como se desarrolló en la segunda convocatoria de Jóvenes a la E.</w:t>
      </w:r>
    </w:p>
    <w:p w14:paraId="659A177D" w14:textId="77777777" w:rsidR="006A2814" w:rsidRPr="006A2814" w:rsidRDefault="006A2814" w:rsidP="006A2814">
      <w:pPr>
        <w:jc w:val="both"/>
        <w:rPr>
          <w:rFonts w:ascii="Garamond" w:hAnsi="Garamond" w:cstheme="minorHAnsi"/>
          <w:sz w:val="24"/>
          <w:szCs w:val="24"/>
        </w:rPr>
      </w:pPr>
    </w:p>
    <w:p w14:paraId="63840A19" w14:textId="77777777" w:rsidR="006A2814" w:rsidRPr="006A2814" w:rsidRDefault="006A2814" w:rsidP="006A2814">
      <w:pPr>
        <w:jc w:val="both"/>
        <w:rPr>
          <w:rFonts w:ascii="Garamond" w:hAnsi="Garamond" w:cstheme="minorHAnsi"/>
          <w:sz w:val="24"/>
          <w:szCs w:val="24"/>
        </w:rPr>
      </w:pPr>
      <w:r w:rsidRPr="006A2814">
        <w:rPr>
          <w:rFonts w:ascii="Garamond" w:hAnsi="Garamond" w:cstheme="minorHAnsi"/>
          <w:sz w:val="24"/>
          <w:szCs w:val="24"/>
        </w:rPr>
        <w:t>En aras de garantizar el principio de igualdad con todos los Fondos de Desarrollo Local del Distrito Capital, y con el fin de que todos los beneficiarios tengan las mismas oportunidades de acceder a cualquier universidad, el listado de beneficiarios que se envía al Fondo de Desarrollo Local para su verificación, no puede ser subjetivo ni contrario a los compromisos suscritos con las instituciones ni al propósito del programa.</w:t>
      </w:r>
    </w:p>
    <w:p w14:paraId="5B844C4E" w14:textId="77777777" w:rsidR="006A2814" w:rsidRPr="006A2814" w:rsidRDefault="006A2814" w:rsidP="006A2814">
      <w:pPr>
        <w:jc w:val="both"/>
        <w:rPr>
          <w:rFonts w:ascii="Garamond" w:hAnsi="Garamond" w:cstheme="minorHAnsi"/>
          <w:sz w:val="24"/>
          <w:szCs w:val="24"/>
        </w:rPr>
      </w:pPr>
    </w:p>
    <w:p w14:paraId="7D702366" w14:textId="2228179E" w:rsidR="006A2814" w:rsidRDefault="006A2814" w:rsidP="0055486F">
      <w:pPr>
        <w:numPr>
          <w:ilvl w:val="1"/>
          <w:numId w:val="20"/>
        </w:numPr>
        <w:jc w:val="both"/>
        <w:rPr>
          <w:rFonts w:ascii="Garamond" w:hAnsi="Garamond" w:cstheme="minorHAnsi"/>
          <w:b/>
          <w:sz w:val="24"/>
          <w:szCs w:val="24"/>
        </w:rPr>
      </w:pPr>
      <w:bookmarkStart w:id="11" w:name="_Toc1700411216"/>
      <w:r w:rsidRPr="006A2814">
        <w:rPr>
          <w:rFonts w:ascii="Garamond" w:hAnsi="Garamond" w:cstheme="minorHAnsi"/>
          <w:b/>
          <w:sz w:val="24"/>
          <w:szCs w:val="24"/>
        </w:rPr>
        <w:t>Cambio de Residencia del beneficiario y su financiación.</w:t>
      </w:r>
      <w:bookmarkEnd w:id="11"/>
    </w:p>
    <w:p w14:paraId="771EC28A" w14:textId="77777777" w:rsidR="00D21A37" w:rsidRPr="006A2814" w:rsidRDefault="00D21A37" w:rsidP="00D21A37">
      <w:pPr>
        <w:ind w:left="720"/>
        <w:jc w:val="both"/>
        <w:rPr>
          <w:rFonts w:ascii="Garamond" w:hAnsi="Garamond" w:cstheme="minorHAnsi"/>
          <w:b/>
          <w:sz w:val="24"/>
          <w:szCs w:val="24"/>
        </w:rPr>
      </w:pPr>
    </w:p>
    <w:p w14:paraId="520B02CE" w14:textId="77777777" w:rsidR="006A2814" w:rsidRPr="006A2814" w:rsidRDefault="006A2814" w:rsidP="006A2814">
      <w:pPr>
        <w:jc w:val="both"/>
        <w:rPr>
          <w:rFonts w:ascii="Garamond" w:hAnsi="Garamond" w:cstheme="minorHAnsi"/>
          <w:sz w:val="24"/>
          <w:szCs w:val="24"/>
        </w:rPr>
      </w:pPr>
      <w:r w:rsidRPr="006A2814">
        <w:rPr>
          <w:rFonts w:ascii="Garamond" w:hAnsi="Garamond" w:cstheme="minorHAnsi"/>
          <w:sz w:val="24"/>
          <w:szCs w:val="24"/>
        </w:rPr>
        <w:t>En virtud de los derechos constitucionales vigentes, los beneficiarios gozan del derecho a la libre locomoción, lo que les faculta para cambiar de localidad según su circunstancia. En este contexto, el cambio de residencia de un beneficiario no debe implicar una carga presupuestal adicional para la localidad de destino, ni una disminución de los recursos para la localidad de origen.</w:t>
      </w:r>
    </w:p>
    <w:p w14:paraId="0B777154" w14:textId="77777777" w:rsidR="006A2814" w:rsidRPr="006A2814" w:rsidRDefault="006A2814" w:rsidP="006A2814">
      <w:pPr>
        <w:jc w:val="both"/>
        <w:rPr>
          <w:rFonts w:ascii="Garamond" w:hAnsi="Garamond" w:cstheme="minorHAnsi"/>
          <w:sz w:val="24"/>
          <w:szCs w:val="24"/>
        </w:rPr>
      </w:pPr>
    </w:p>
    <w:p w14:paraId="00436ADA" w14:textId="77777777" w:rsidR="006A2814" w:rsidRPr="006A2814" w:rsidRDefault="006A2814" w:rsidP="006A2814">
      <w:pPr>
        <w:jc w:val="both"/>
        <w:rPr>
          <w:rFonts w:ascii="Garamond" w:hAnsi="Garamond" w:cstheme="minorHAnsi"/>
          <w:sz w:val="24"/>
          <w:szCs w:val="24"/>
        </w:rPr>
      </w:pPr>
      <w:r w:rsidRPr="006A2814">
        <w:rPr>
          <w:rFonts w:ascii="Garamond" w:hAnsi="Garamond" w:cstheme="minorHAnsi"/>
          <w:sz w:val="24"/>
          <w:szCs w:val="24"/>
        </w:rPr>
        <w:t xml:space="preserve">Esto se debe a que los recursos asignados por el FDL se destinan a la convocatoria de la cohorte en general y no a individuos específicos, conforme a lo estipulado en el convenio y en los Manuales </w:t>
      </w:r>
      <w:r w:rsidRPr="006A2814">
        <w:rPr>
          <w:rFonts w:ascii="Garamond" w:hAnsi="Garamond" w:cstheme="minorHAnsi"/>
          <w:sz w:val="24"/>
          <w:szCs w:val="24"/>
        </w:rPr>
        <w:lastRenderedPageBreak/>
        <w:t>Operativos. En consecuencia, el FDL garantizará la financiación del beneficiario independientemente de la localidad a la que se traslade.</w:t>
      </w:r>
    </w:p>
    <w:p w14:paraId="3566DDAD" w14:textId="77777777" w:rsidR="006A2814" w:rsidRPr="006A2814" w:rsidRDefault="006A2814" w:rsidP="006A2814">
      <w:pPr>
        <w:jc w:val="both"/>
        <w:rPr>
          <w:rFonts w:ascii="Garamond" w:hAnsi="Garamond" w:cstheme="minorHAnsi"/>
          <w:sz w:val="24"/>
          <w:szCs w:val="24"/>
        </w:rPr>
      </w:pPr>
    </w:p>
    <w:p w14:paraId="4652FD55" w14:textId="77777777" w:rsidR="006A2814" w:rsidRPr="006A2814" w:rsidRDefault="006A2814" w:rsidP="0055486F">
      <w:pPr>
        <w:numPr>
          <w:ilvl w:val="1"/>
          <w:numId w:val="21"/>
        </w:numPr>
        <w:jc w:val="both"/>
        <w:rPr>
          <w:rFonts w:ascii="Garamond" w:hAnsi="Garamond" w:cstheme="minorHAnsi"/>
          <w:b/>
          <w:sz w:val="24"/>
          <w:szCs w:val="24"/>
        </w:rPr>
      </w:pPr>
      <w:bookmarkStart w:id="12" w:name="_Toc483607872"/>
      <w:r w:rsidRPr="006A2814">
        <w:rPr>
          <w:rFonts w:ascii="Garamond" w:hAnsi="Garamond" w:cstheme="minorHAnsi"/>
          <w:b/>
          <w:sz w:val="24"/>
          <w:szCs w:val="24"/>
        </w:rPr>
        <w:t>Herramienta de cálculo de meta y presupuesto</w:t>
      </w:r>
      <w:bookmarkEnd w:id="12"/>
    </w:p>
    <w:p w14:paraId="78CD72AD" w14:textId="77777777" w:rsidR="006A2814" w:rsidRPr="006A2814" w:rsidRDefault="006A2814" w:rsidP="006A2814">
      <w:pPr>
        <w:jc w:val="both"/>
        <w:rPr>
          <w:rFonts w:ascii="Garamond" w:hAnsi="Garamond" w:cstheme="minorHAnsi"/>
          <w:b/>
          <w:sz w:val="24"/>
          <w:szCs w:val="24"/>
        </w:rPr>
      </w:pPr>
    </w:p>
    <w:p w14:paraId="7CB55E04" w14:textId="77777777" w:rsidR="006A2814" w:rsidRPr="006A2814" w:rsidRDefault="006A2814" w:rsidP="006A2814">
      <w:pPr>
        <w:jc w:val="both"/>
        <w:rPr>
          <w:rFonts w:ascii="Garamond" w:hAnsi="Garamond" w:cstheme="minorHAnsi"/>
          <w:sz w:val="24"/>
          <w:szCs w:val="24"/>
        </w:rPr>
      </w:pPr>
      <w:r w:rsidRPr="006A2814">
        <w:rPr>
          <w:rFonts w:ascii="Garamond" w:hAnsi="Garamond" w:cstheme="minorHAnsi"/>
          <w:sz w:val="24"/>
          <w:szCs w:val="24"/>
        </w:rPr>
        <w:t xml:space="preserve">La Agencia Atenea realizará mediante la herramienta de apoyo de Excel “calculadora”, una </w:t>
      </w:r>
      <w:r w:rsidRPr="006A2814">
        <w:rPr>
          <w:rFonts w:ascii="Garamond" w:hAnsi="Garamond" w:cstheme="minorHAnsi"/>
          <w:b/>
          <w:bCs/>
          <w:sz w:val="24"/>
          <w:szCs w:val="24"/>
          <w:u w:val="single"/>
        </w:rPr>
        <w:t>proyección</w:t>
      </w:r>
      <w:r w:rsidRPr="006A2814">
        <w:rPr>
          <w:rFonts w:ascii="Garamond" w:hAnsi="Garamond" w:cstheme="minorHAnsi"/>
          <w:sz w:val="24"/>
          <w:szCs w:val="24"/>
        </w:rPr>
        <w:t xml:space="preserve"> de metas vs recursos aportados por los Fondo de Desarrollo Local de acuerdo con las condiciones acordadas en las mesas de negociación realizadas en el marco de la planeación del convenio, las cuales podrán variar de acuerdo con los precios del mercado, la cantidad de beneficios a otorgar y las fluctuaciones inflacionarias de los diferentes periodos académicos. Se debe recordar que la proyección puede detallar una cantidad de beneficios en los niveles de formación técnico profesional, tecnológico, profesional universitario y Educación y Formación para el Trabajo, sin embargo, eso puede variar de acuerdo con la cantidad de jóvenes que se inscriban y sus preferencias académicas en las convocatorias correspondientes, razón por la cual los valores calculados no podrán ser tomados como valores finales. Así mismo, se debe tener en cuenta el valor de referencia de la línea de fortalecimiento del acceso, la permanencia y la calidad en instituciones oficiales que ofertan educación superior en Bogotá (Línea de Acceso) también podrá determinar la cantidad de beneficios y montos del convenio.</w:t>
      </w:r>
    </w:p>
    <w:p w14:paraId="54E4B35E" w14:textId="77777777" w:rsidR="006A2814" w:rsidRPr="006A2814" w:rsidRDefault="006A2814" w:rsidP="006A2814">
      <w:pPr>
        <w:jc w:val="both"/>
        <w:rPr>
          <w:rFonts w:ascii="Garamond" w:hAnsi="Garamond" w:cstheme="minorHAnsi"/>
          <w:sz w:val="24"/>
          <w:szCs w:val="24"/>
        </w:rPr>
      </w:pPr>
    </w:p>
    <w:p w14:paraId="64C1F6FC" w14:textId="0E4F58D5" w:rsidR="006A2814" w:rsidRDefault="006A2814" w:rsidP="006A2814">
      <w:pPr>
        <w:jc w:val="both"/>
        <w:rPr>
          <w:rFonts w:ascii="Garamond" w:hAnsi="Garamond" w:cstheme="minorHAnsi"/>
          <w:sz w:val="24"/>
          <w:szCs w:val="24"/>
        </w:rPr>
      </w:pPr>
      <w:r w:rsidRPr="006A2814">
        <w:rPr>
          <w:rFonts w:ascii="Garamond" w:hAnsi="Garamond" w:cstheme="minorHAnsi"/>
          <w:sz w:val="24"/>
          <w:szCs w:val="24"/>
        </w:rPr>
        <w:t xml:space="preserve">La proyección financiera de un programa educativo depende de diversas variables que deben ser cuidadosamente consideradas para obtener una estimación aproximada a la realidad. Entre los factores a tener en cuenta se encuentran </w:t>
      </w:r>
      <w:r w:rsidRPr="006A2814">
        <w:rPr>
          <w:rFonts w:ascii="Garamond" w:hAnsi="Garamond" w:cstheme="minorHAnsi"/>
          <w:b/>
          <w:bCs/>
          <w:i/>
          <w:iCs/>
          <w:sz w:val="24"/>
          <w:szCs w:val="24"/>
        </w:rPr>
        <w:t>los indicadores</w:t>
      </w:r>
      <w:r w:rsidRPr="006A2814">
        <w:rPr>
          <w:rFonts w:ascii="Garamond" w:hAnsi="Garamond" w:cstheme="minorHAnsi"/>
          <w:sz w:val="24"/>
          <w:szCs w:val="24"/>
        </w:rPr>
        <w:t xml:space="preserve"> macro y microeconómicos, que reflejan la situación económica general y específica del entorno en el que se desarrollará el programa “estos pueden variar durante el desarrollo de la formación de los jóvenes”. Además, el </w:t>
      </w:r>
      <w:r w:rsidRPr="006A2814">
        <w:rPr>
          <w:rFonts w:ascii="Garamond" w:hAnsi="Garamond" w:cstheme="minorHAnsi"/>
          <w:b/>
          <w:bCs/>
          <w:i/>
          <w:iCs/>
          <w:sz w:val="24"/>
          <w:szCs w:val="24"/>
        </w:rPr>
        <w:t>valor promedio de los derechos pecuniarios</w:t>
      </w:r>
      <w:r w:rsidRPr="006A2814">
        <w:rPr>
          <w:rFonts w:ascii="Garamond" w:hAnsi="Garamond" w:cstheme="minorHAnsi"/>
          <w:sz w:val="24"/>
          <w:szCs w:val="24"/>
        </w:rPr>
        <w:t xml:space="preserve"> es fundamental para determinar la amortización derivada de los pagos derivado de las matrículas a las instituciones privadas aplicables de acuerdo con la Resolución Anual de derechos pecuniarios emitida por cada IES.</w:t>
      </w:r>
    </w:p>
    <w:p w14:paraId="150FA428" w14:textId="77777777" w:rsidR="00D21A37" w:rsidRPr="006A2814" w:rsidRDefault="00D21A37" w:rsidP="006A2814">
      <w:pPr>
        <w:jc w:val="both"/>
        <w:rPr>
          <w:rFonts w:ascii="Garamond" w:hAnsi="Garamond" w:cstheme="minorHAnsi"/>
          <w:b/>
          <w:bCs/>
          <w:i/>
          <w:iCs/>
          <w:sz w:val="24"/>
          <w:szCs w:val="24"/>
        </w:rPr>
      </w:pPr>
    </w:p>
    <w:p w14:paraId="002D1996" w14:textId="7BB86AD4" w:rsidR="006A2814" w:rsidRDefault="006A2814" w:rsidP="006A2814">
      <w:pPr>
        <w:jc w:val="both"/>
        <w:rPr>
          <w:rFonts w:ascii="Garamond" w:hAnsi="Garamond" w:cstheme="minorHAnsi"/>
          <w:sz w:val="24"/>
          <w:szCs w:val="24"/>
        </w:rPr>
      </w:pPr>
      <w:r w:rsidRPr="006A2814">
        <w:rPr>
          <w:rFonts w:ascii="Garamond" w:hAnsi="Garamond" w:cstheme="minorHAnsi"/>
          <w:i/>
          <w:iCs/>
          <w:sz w:val="24"/>
          <w:szCs w:val="24"/>
        </w:rPr>
        <w:t>La demanda de carreras</w:t>
      </w:r>
      <w:r w:rsidRPr="006A2814">
        <w:rPr>
          <w:rFonts w:ascii="Garamond" w:hAnsi="Garamond" w:cstheme="minorHAnsi"/>
          <w:sz w:val="24"/>
          <w:szCs w:val="24"/>
        </w:rPr>
        <w:t xml:space="preserve"> por parte de los jóvenes, la cual varía según la localidad, influye directamente en la inscripción y número de beneficios a utilizar por cada aspirante, lo cual impacta directamente en los recursos comprometidos para cada convenio suscrito con cada una de las IES/IETDH vinculadas a los programas. </w:t>
      </w:r>
    </w:p>
    <w:p w14:paraId="6CE739CE" w14:textId="77777777" w:rsidR="00D21A37" w:rsidRPr="006A2814" w:rsidRDefault="00D21A37" w:rsidP="006A2814">
      <w:pPr>
        <w:jc w:val="both"/>
        <w:rPr>
          <w:rFonts w:ascii="Garamond" w:hAnsi="Garamond" w:cstheme="minorHAnsi"/>
          <w:sz w:val="24"/>
          <w:szCs w:val="24"/>
        </w:rPr>
      </w:pPr>
    </w:p>
    <w:p w14:paraId="38F742CB" w14:textId="5295CE63" w:rsidR="006A2814" w:rsidRPr="00D21A37" w:rsidRDefault="006A2814" w:rsidP="004B051B">
      <w:pPr>
        <w:jc w:val="both"/>
        <w:rPr>
          <w:rFonts w:ascii="Garamond" w:hAnsi="Garamond" w:cstheme="minorHAnsi"/>
          <w:b/>
          <w:bCs/>
          <w:i/>
          <w:iCs/>
          <w:sz w:val="24"/>
          <w:szCs w:val="24"/>
        </w:rPr>
      </w:pPr>
      <w:r w:rsidRPr="006A2814">
        <w:rPr>
          <w:rFonts w:ascii="Garamond" w:hAnsi="Garamond" w:cstheme="minorHAnsi"/>
          <w:b/>
          <w:bCs/>
          <w:i/>
          <w:iCs/>
          <w:sz w:val="24"/>
          <w:szCs w:val="24"/>
        </w:rPr>
        <w:t>El tiempo</w:t>
      </w:r>
      <w:r w:rsidRPr="006A2814">
        <w:rPr>
          <w:rFonts w:ascii="Garamond" w:hAnsi="Garamond" w:cstheme="minorHAnsi"/>
          <w:sz w:val="24"/>
          <w:szCs w:val="24"/>
        </w:rPr>
        <w:t xml:space="preserve"> de duración de la carrera y el </w:t>
      </w:r>
      <w:r w:rsidRPr="006A2814">
        <w:rPr>
          <w:rFonts w:ascii="Garamond" w:hAnsi="Garamond" w:cstheme="minorHAnsi"/>
          <w:b/>
          <w:bCs/>
          <w:i/>
          <w:iCs/>
          <w:sz w:val="24"/>
          <w:szCs w:val="24"/>
        </w:rPr>
        <w:t>nivel de formación</w:t>
      </w:r>
      <w:r w:rsidRPr="006A2814">
        <w:rPr>
          <w:rFonts w:ascii="Garamond" w:hAnsi="Garamond" w:cstheme="minorHAnsi"/>
          <w:sz w:val="24"/>
          <w:szCs w:val="24"/>
        </w:rPr>
        <w:t xml:space="preserve"> también juegan un papel crucial, ya que impactan en la estructura de financiamiento del programa. En conjunto, estas variables proporcionan una visión integral necesaria para la elaboración de una estimación financiera cercana a la realidad, pero que al fin de cuentas </w:t>
      </w:r>
      <w:r w:rsidRPr="006A2814">
        <w:rPr>
          <w:rFonts w:ascii="Garamond" w:hAnsi="Garamond" w:cstheme="minorHAnsi"/>
          <w:b/>
          <w:bCs/>
          <w:i/>
          <w:iCs/>
          <w:sz w:val="24"/>
          <w:szCs w:val="24"/>
        </w:rPr>
        <w:t>obedece a una proyección.</w:t>
      </w:r>
    </w:p>
    <w:p w14:paraId="3CCD04F0" w14:textId="77777777" w:rsidR="006A2814" w:rsidRPr="002D7386" w:rsidRDefault="006A2814" w:rsidP="004B051B">
      <w:pPr>
        <w:jc w:val="both"/>
        <w:rPr>
          <w:rFonts w:ascii="Garamond" w:hAnsi="Garamond" w:cs="Arial"/>
          <w:b/>
          <w:sz w:val="24"/>
          <w:szCs w:val="24"/>
        </w:rPr>
      </w:pPr>
    </w:p>
    <w:p w14:paraId="091FA2A3" w14:textId="15D56DBE" w:rsidR="002525BA" w:rsidRPr="00885568" w:rsidRDefault="00103C08" w:rsidP="0055486F">
      <w:pPr>
        <w:pStyle w:val="Prrafodelista"/>
        <w:numPr>
          <w:ilvl w:val="1"/>
          <w:numId w:val="8"/>
        </w:numPr>
        <w:jc w:val="both"/>
        <w:rPr>
          <w:rFonts w:ascii="Garamond" w:hAnsi="Garamond" w:cs="Arial"/>
          <w:b/>
          <w:sz w:val="24"/>
          <w:szCs w:val="24"/>
        </w:rPr>
      </w:pPr>
      <w:r w:rsidRPr="00885568">
        <w:rPr>
          <w:rFonts w:ascii="Garamond" w:hAnsi="Garamond" w:cs="Arial"/>
          <w:b/>
          <w:sz w:val="24"/>
          <w:szCs w:val="24"/>
        </w:rPr>
        <w:t xml:space="preserve">Identificación del </w:t>
      </w:r>
      <w:r w:rsidR="0012508A" w:rsidRPr="00885568">
        <w:rPr>
          <w:rFonts w:ascii="Garamond" w:hAnsi="Garamond" w:cs="Arial"/>
          <w:b/>
          <w:sz w:val="24"/>
          <w:szCs w:val="24"/>
        </w:rPr>
        <w:t>convenio</w:t>
      </w:r>
      <w:r w:rsidRPr="00885568">
        <w:rPr>
          <w:rFonts w:ascii="Garamond" w:hAnsi="Garamond" w:cs="Arial"/>
          <w:b/>
          <w:sz w:val="24"/>
          <w:szCs w:val="24"/>
        </w:rPr>
        <w:t xml:space="preserve"> a celebrar</w:t>
      </w:r>
    </w:p>
    <w:p w14:paraId="1DAF0F73" w14:textId="3586C9FB" w:rsidR="00103C08" w:rsidRPr="00885568" w:rsidRDefault="002525BA" w:rsidP="00D26351">
      <w:pPr>
        <w:jc w:val="both"/>
        <w:rPr>
          <w:rFonts w:ascii="Garamond" w:hAnsi="Garamond" w:cs="Arial"/>
          <w:sz w:val="24"/>
          <w:szCs w:val="24"/>
        </w:rPr>
      </w:pPr>
      <w:r w:rsidRPr="00885568">
        <w:rPr>
          <w:rFonts w:ascii="Garamond" w:hAnsi="Garamond" w:cs="Arial"/>
          <w:sz w:val="24"/>
          <w:szCs w:val="24"/>
        </w:rPr>
        <w:lastRenderedPageBreak/>
        <w:t>El</w:t>
      </w:r>
      <w:r w:rsidR="006B168B" w:rsidRPr="00885568">
        <w:rPr>
          <w:rFonts w:ascii="Garamond" w:hAnsi="Garamond" w:cs="Arial"/>
          <w:color w:val="808080" w:themeColor="background1" w:themeShade="80"/>
          <w:sz w:val="24"/>
          <w:szCs w:val="24"/>
        </w:rPr>
        <w:t xml:space="preserve"> </w:t>
      </w:r>
      <w:r w:rsidR="006B168B" w:rsidRPr="00885568">
        <w:rPr>
          <w:rFonts w:ascii="Garamond" w:hAnsi="Garamond" w:cs="Arial"/>
          <w:sz w:val="24"/>
          <w:szCs w:val="24"/>
        </w:rPr>
        <w:t xml:space="preserve">convenio que surja del presente proceso de selección corresponde a </w:t>
      </w:r>
      <w:r w:rsidR="006B168B" w:rsidRPr="00885568">
        <w:rPr>
          <w:rFonts w:ascii="Garamond" w:hAnsi="Garamond" w:cs="Arial"/>
          <w:b/>
          <w:sz w:val="24"/>
          <w:szCs w:val="24"/>
        </w:rPr>
        <w:t>CONVENIO INTERADMINISTRATIVO</w:t>
      </w:r>
      <w:r w:rsidR="006B168B" w:rsidRPr="00885568">
        <w:rPr>
          <w:rFonts w:ascii="Garamond" w:hAnsi="Garamond" w:cs="Arial"/>
          <w:sz w:val="24"/>
          <w:szCs w:val="24"/>
        </w:rPr>
        <w:t xml:space="preserve"> regulado por Ley 80 de 1993, la Ley 1150 de 2007, Ley 1474 de 2011, Decreto 1082 de 2015 Artículo 2.2.1.2.1.4.4.  (Ley 489 de 1998 en caso de convenio) y demás normas que las modifiquen, adicionen o deroguen y en las materias no reguladas en dichas leyes a las disposiciones civiles y comerciales.</w:t>
      </w:r>
    </w:p>
    <w:p w14:paraId="5FF06626" w14:textId="77777777" w:rsidR="00515818" w:rsidRPr="00885568" w:rsidRDefault="00515818" w:rsidP="00FA2FBD">
      <w:pPr>
        <w:jc w:val="both"/>
        <w:rPr>
          <w:rFonts w:ascii="Garamond" w:hAnsi="Garamond" w:cs="Arial"/>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775163" w:rsidRPr="00885568" w14:paraId="1BE8313A" w14:textId="77777777" w:rsidTr="00DC3046">
        <w:trPr>
          <w:jc w:val="center"/>
        </w:trPr>
        <w:tc>
          <w:tcPr>
            <w:tcW w:w="9451" w:type="dxa"/>
            <w:shd w:val="clear" w:color="auto" w:fill="E0E0E0"/>
          </w:tcPr>
          <w:p w14:paraId="248BA290" w14:textId="1BA28C0B" w:rsidR="008B4B70" w:rsidRPr="00885568" w:rsidRDefault="00EC4CCE" w:rsidP="0055486F">
            <w:pPr>
              <w:pStyle w:val="Prrafodelista"/>
              <w:numPr>
                <w:ilvl w:val="0"/>
                <w:numId w:val="8"/>
              </w:numPr>
              <w:jc w:val="both"/>
              <w:rPr>
                <w:rFonts w:ascii="Garamond" w:hAnsi="Garamond" w:cs="Arial"/>
                <w:b/>
                <w:sz w:val="24"/>
                <w:szCs w:val="24"/>
              </w:rPr>
            </w:pPr>
            <w:r w:rsidRPr="00885568">
              <w:rPr>
                <w:rFonts w:ascii="Garamond" w:hAnsi="Garamond" w:cs="Arial"/>
                <w:b/>
                <w:sz w:val="24"/>
                <w:szCs w:val="24"/>
              </w:rPr>
              <w:t>MODALIDAD DE SELECCIÓN DE</w:t>
            </w:r>
            <w:r w:rsidR="00515818" w:rsidRPr="00885568">
              <w:rPr>
                <w:rFonts w:ascii="Garamond" w:hAnsi="Garamond" w:cs="Arial"/>
                <w:b/>
                <w:sz w:val="24"/>
                <w:szCs w:val="24"/>
              </w:rPr>
              <w:t>L CONTRATISTA Y</w:t>
            </w:r>
            <w:r w:rsidR="00AF61A0" w:rsidRPr="00885568">
              <w:rPr>
                <w:rFonts w:ascii="Garamond" w:hAnsi="Garamond" w:cs="Arial"/>
                <w:b/>
                <w:sz w:val="24"/>
                <w:szCs w:val="24"/>
              </w:rPr>
              <w:t xml:space="preserve"> SU JUSTIFICACIÓN, INCLUYENDO LOS FUNDAMENTOS JURÍDICOS.</w:t>
            </w:r>
          </w:p>
        </w:tc>
      </w:tr>
    </w:tbl>
    <w:p w14:paraId="35B5396A" w14:textId="77777777" w:rsidR="00966602" w:rsidRPr="00885568" w:rsidRDefault="00966602" w:rsidP="00AB73E2">
      <w:pPr>
        <w:autoSpaceDE w:val="0"/>
        <w:autoSpaceDN w:val="0"/>
        <w:adjustRightInd w:val="0"/>
        <w:jc w:val="both"/>
        <w:rPr>
          <w:rFonts w:ascii="Garamond" w:hAnsi="Garamond" w:cs="Arial"/>
          <w:sz w:val="24"/>
          <w:szCs w:val="24"/>
          <w:lang w:val="es-MX"/>
        </w:rPr>
      </w:pPr>
    </w:p>
    <w:sdt>
      <w:sdtPr>
        <w:tag w:val="goog_rdk_176"/>
        <w:id w:val="-1488789046"/>
      </w:sdtPr>
      <w:sdtContent>
        <w:sdt>
          <w:sdtPr>
            <w:tag w:val="goog_rdk_110"/>
            <w:id w:val="-523323154"/>
          </w:sdtPr>
          <w:sdtContent>
            <w:p w14:paraId="5DC1EB49" w14:textId="77777777" w:rsidR="00505D27" w:rsidRPr="00885568" w:rsidRDefault="00505D27" w:rsidP="00505D27">
              <w:pPr>
                <w:jc w:val="both"/>
                <w:rPr>
                  <w:rFonts w:ascii="Garamond" w:eastAsia="Garamond" w:hAnsi="Garamond" w:cs="Garamond"/>
                  <w:sz w:val="24"/>
                  <w:szCs w:val="24"/>
                </w:rPr>
              </w:pPr>
              <w:r w:rsidRPr="00885568">
                <w:rPr>
                  <w:rFonts w:ascii="Garamond" w:eastAsia="Garamond" w:hAnsi="Garamond" w:cs="Garamond"/>
                  <w:sz w:val="24"/>
                  <w:szCs w:val="24"/>
                </w:rPr>
                <w:t>Lo primero a acotar es que dicha justificación está dada en el Estatuto General de Contratación Pública y las normas que lo complementan y adicionan. En tal sentido es esta normativa la que contempla las modalidades de selección del contratista, así como los criterios y reglas que deberá seguir una entidad al momento de optar por el instrumento jurídico para contratar sus bienes y servicios. Esto significa que la escogencia de la modalidad para contratar es el resultado de un ejercicio de constatación y cumplimiento de las causales establecidas en las normas de contratación pública, de acuerdo al objeto, naturaleza, cuantía y condiciones especiales del proceso, y en consonancia con los principios constitucionales y disposiciones normativas que integran nuestro ordenamiento jurídico.</w:t>
              </w:r>
            </w:p>
            <w:p w14:paraId="736C345F" w14:textId="77777777" w:rsidR="00505D27" w:rsidRPr="00885568" w:rsidRDefault="00000000" w:rsidP="00505D27">
              <w:pPr>
                <w:jc w:val="both"/>
                <w:rPr>
                  <w:rFonts w:ascii="Garamond" w:eastAsia="Garamond" w:hAnsi="Garamond" w:cs="Garamond"/>
                  <w:sz w:val="24"/>
                  <w:szCs w:val="24"/>
                </w:rPr>
              </w:pPr>
            </w:p>
          </w:sdtContent>
        </w:sdt>
        <w:sdt>
          <w:sdtPr>
            <w:tag w:val="goog_rdk_114"/>
            <w:id w:val="1505548026"/>
          </w:sdtPr>
          <w:sdtContent>
            <w:p w14:paraId="19220D16" w14:textId="77777777" w:rsidR="00505D27" w:rsidRPr="00885568" w:rsidRDefault="00000000" w:rsidP="00505D27">
              <w:pPr>
                <w:jc w:val="both"/>
                <w:rPr>
                  <w:rFonts w:ascii="Garamond" w:eastAsia="Garamond" w:hAnsi="Garamond" w:cs="Garamond"/>
                  <w:sz w:val="24"/>
                  <w:szCs w:val="24"/>
                </w:rPr>
              </w:pPr>
              <w:sdt>
                <w:sdtPr>
                  <w:tag w:val="goog_rdk_113"/>
                  <w:id w:val="-1511831201"/>
                </w:sdtPr>
                <w:sdtContent>
                  <w:r w:rsidR="00505D27" w:rsidRPr="00885568">
                    <w:rPr>
                      <w:rFonts w:ascii="Garamond" w:eastAsia="Garamond" w:hAnsi="Garamond" w:cs="Garamond"/>
                      <w:sz w:val="24"/>
                      <w:szCs w:val="24"/>
                    </w:rPr>
                    <w:t>Así las cosas, el contrato que se pretende celebrar está enmarcado en la modalidad de contratación directa, a través de un convenio interadministrativo. Los fundamentos en los que se soporta dicha selección son los siguientes:</w:t>
                  </w:r>
                </w:sdtContent>
              </w:sdt>
            </w:p>
          </w:sdtContent>
        </w:sdt>
        <w:p w14:paraId="4A5CC01C" w14:textId="77777777" w:rsidR="00505D27" w:rsidRPr="00885568" w:rsidRDefault="00000000" w:rsidP="00505D27">
          <w:pPr>
            <w:jc w:val="both"/>
            <w:rPr>
              <w:rFonts w:ascii="Garamond" w:eastAsia="Garamond" w:hAnsi="Garamond" w:cs="Garamond"/>
              <w:sz w:val="24"/>
              <w:szCs w:val="24"/>
            </w:rPr>
          </w:pPr>
        </w:p>
      </w:sdtContent>
    </w:sdt>
    <w:sdt>
      <w:sdtPr>
        <w:tag w:val="goog_rdk_118"/>
        <w:id w:val="-416876936"/>
      </w:sdtPr>
      <w:sdtContent>
        <w:p w14:paraId="6342D813" w14:textId="77777777" w:rsidR="00505D27" w:rsidRPr="00885568" w:rsidRDefault="00000000" w:rsidP="00505D27">
          <w:pPr>
            <w:jc w:val="both"/>
            <w:rPr>
              <w:rFonts w:ascii="Garamond" w:eastAsia="Garamond" w:hAnsi="Garamond" w:cs="Garamond"/>
              <w:sz w:val="24"/>
              <w:szCs w:val="24"/>
            </w:rPr>
          </w:pPr>
          <w:sdt>
            <w:sdtPr>
              <w:tag w:val="goog_rdk_117"/>
              <w:id w:val="-444236336"/>
            </w:sdtPr>
            <w:sdtContent>
              <w:r w:rsidR="00505D27" w:rsidRPr="00885568">
                <w:rPr>
                  <w:rFonts w:ascii="Garamond" w:eastAsia="Garamond" w:hAnsi="Garamond" w:cs="Garamond"/>
                  <w:sz w:val="24"/>
                  <w:szCs w:val="24"/>
                </w:rPr>
                <w:t xml:space="preserve">El cumplimiento del principio constitucional de colaboración armónica, dispuesto en el artículo 113 de  la Constitución Política a saber: </w:t>
              </w:r>
            </w:sdtContent>
          </w:sdt>
        </w:p>
      </w:sdtContent>
    </w:sdt>
    <w:sdt>
      <w:sdtPr>
        <w:tag w:val="goog_rdk_120"/>
        <w:id w:val="-47613015"/>
      </w:sdtPr>
      <w:sdtContent>
        <w:p w14:paraId="16682BF1" w14:textId="498BEFDE" w:rsidR="00505D27" w:rsidRPr="00885568" w:rsidRDefault="00000000" w:rsidP="00505D27">
          <w:pPr>
            <w:jc w:val="both"/>
            <w:rPr>
              <w:rFonts w:ascii="Garamond" w:eastAsia="Garamond" w:hAnsi="Garamond" w:cs="Garamond"/>
              <w:sz w:val="24"/>
              <w:szCs w:val="24"/>
            </w:rPr>
          </w:pPr>
          <w:sdt>
            <w:sdtPr>
              <w:tag w:val="goog_rdk_119"/>
              <w:id w:val="-1132628221"/>
              <w:showingPlcHdr/>
            </w:sdtPr>
            <w:sdtContent>
              <w:r w:rsidR="000B56C6">
                <w:t xml:space="preserve">     </w:t>
              </w:r>
            </w:sdtContent>
          </w:sdt>
        </w:p>
      </w:sdtContent>
    </w:sdt>
    <w:sdt>
      <w:sdtPr>
        <w:tag w:val="goog_rdk_122"/>
        <w:id w:val="-873156590"/>
      </w:sdtPr>
      <w:sdtContent>
        <w:p w14:paraId="356A8AA1" w14:textId="77777777" w:rsidR="00505D27" w:rsidRPr="00885568" w:rsidRDefault="00000000" w:rsidP="00505D27">
          <w:pPr>
            <w:jc w:val="both"/>
            <w:rPr>
              <w:rFonts w:ascii="Garamond" w:eastAsia="Garamond" w:hAnsi="Garamond" w:cs="Garamond"/>
              <w:sz w:val="24"/>
              <w:szCs w:val="24"/>
            </w:rPr>
          </w:pPr>
          <w:sdt>
            <w:sdtPr>
              <w:tag w:val="goog_rdk_121"/>
              <w:id w:val="1854762586"/>
            </w:sdtPr>
            <w:sdtContent>
              <w:r w:rsidR="00505D27" w:rsidRPr="00885568">
                <w:rPr>
                  <w:rFonts w:ascii="Garamond" w:eastAsia="Garamond" w:hAnsi="Garamond" w:cs="Garamond"/>
                  <w:sz w:val="24"/>
                  <w:szCs w:val="24"/>
                </w:rPr>
                <w:t xml:space="preserve">“...Los diferentes órganos del Estado tienen funciones separadas pero colaboran armónicamente para la realización de sus fines...” </w:t>
              </w:r>
            </w:sdtContent>
          </w:sdt>
        </w:p>
      </w:sdtContent>
    </w:sdt>
    <w:sdt>
      <w:sdtPr>
        <w:tag w:val="goog_rdk_124"/>
        <w:id w:val="1167442481"/>
      </w:sdtPr>
      <w:sdtContent>
        <w:p w14:paraId="5355004E" w14:textId="77777777" w:rsidR="00505D27" w:rsidRPr="00885568" w:rsidRDefault="00000000" w:rsidP="00505D27">
          <w:pPr>
            <w:jc w:val="both"/>
            <w:rPr>
              <w:rFonts w:ascii="Garamond" w:eastAsia="Garamond" w:hAnsi="Garamond" w:cs="Garamond"/>
              <w:sz w:val="24"/>
              <w:szCs w:val="24"/>
            </w:rPr>
          </w:pPr>
          <w:sdt>
            <w:sdtPr>
              <w:tag w:val="goog_rdk_123"/>
              <w:id w:val="217168066"/>
            </w:sdtPr>
            <w:sdtContent>
              <w:r w:rsidR="00505D27" w:rsidRPr="00885568">
                <w:rPr>
                  <w:rFonts w:ascii="Garamond" w:eastAsia="Garamond" w:hAnsi="Garamond" w:cs="Garamond"/>
                  <w:sz w:val="24"/>
                  <w:szCs w:val="24"/>
                </w:rPr>
                <w:t xml:space="preserve">Así mismo, la Carta Política en su artículo 209 señala que las autoridades administrativas deben coordinar sus actuaciones para el cumplimiento de los fines del Estado, así : </w:t>
              </w:r>
            </w:sdtContent>
          </w:sdt>
        </w:p>
      </w:sdtContent>
    </w:sdt>
    <w:sdt>
      <w:sdtPr>
        <w:tag w:val="goog_rdk_126"/>
        <w:id w:val="715782163"/>
      </w:sdtPr>
      <w:sdtContent>
        <w:p w14:paraId="7EF9848D" w14:textId="77777777" w:rsidR="00505D27" w:rsidRPr="00885568" w:rsidRDefault="00000000" w:rsidP="00505D27">
          <w:pPr>
            <w:jc w:val="both"/>
            <w:rPr>
              <w:rFonts w:ascii="Garamond" w:eastAsia="Garamond" w:hAnsi="Garamond" w:cs="Garamond"/>
              <w:sz w:val="24"/>
              <w:szCs w:val="24"/>
            </w:rPr>
          </w:pPr>
          <w:sdt>
            <w:sdtPr>
              <w:tag w:val="goog_rdk_125"/>
              <w:id w:val="852843876"/>
              <w:showingPlcHdr/>
            </w:sdtPr>
            <w:sdtContent>
              <w:r w:rsidR="00505D27" w:rsidRPr="00885568">
                <w:t xml:space="preserve">     </w:t>
              </w:r>
            </w:sdtContent>
          </w:sdt>
        </w:p>
      </w:sdtContent>
    </w:sdt>
    <w:sdt>
      <w:sdtPr>
        <w:tag w:val="goog_rdk_128"/>
        <w:id w:val="1440721881"/>
      </w:sdtPr>
      <w:sdtContent>
        <w:p w14:paraId="455F1BB8" w14:textId="77777777" w:rsidR="00505D27" w:rsidRPr="00885568" w:rsidRDefault="00000000" w:rsidP="00505D27">
          <w:pPr>
            <w:jc w:val="both"/>
            <w:rPr>
              <w:rFonts w:ascii="Garamond" w:eastAsia="Garamond" w:hAnsi="Garamond" w:cs="Garamond"/>
              <w:sz w:val="24"/>
              <w:szCs w:val="24"/>
            </w:rPr>
          </w:pPr>
          <w:sdt>
            <w:sdtPr>
              <w:tag w:val="goog_rdk_127"/>
              <w:id w:val="1433483542"/>
            </w:sdtPr>
            <w:sdtContent>
              <w:r w:rsidR="00505D27" w:rsidRPr="00885568">
                <w:rPr>
                  <w:rFonts w:ascii="Garamond" w:eastAsia="Garamond" w:hAnsi="Garamond" w:cs="Garamond"/>
                  <w:sz w:val="24"/>
                  <w:szCs w:val="24"/>
                </w:rPr>
                <w:t xml:space="preserve">“... que la función administrativa está al servicio de los intereses generales y se desarrolla con fundamento en los principios de igualdad, moralidad, eficacia, economía, celeridad, imparcialidad y publicidad, mediante la descentralización, la delegación y la desconcentración de funciones, indicado que las autoridades administrativas deben coordinar sus actuaciones para el adecuado cumplimiento de los fines del Estado”. </w:t>
              </w:r>
            </w:sdtContent>
          </w:sdt>
        </w:p>
      </w:sdtContent>
    </w:sdt>
    <w:sdt>
      <w:sdtPr>
        <w:tag w:val="goog_rdk_130"/>
        <w:id w:val="172163096"/>
      </w:sdtPr>
      <w:sdtContent>
        <w:p w14:paraId="6CB73D7B" w14:textId="33348A88" w:rsidR="00505D27" w:rsidRPr="00885568" w:rsidRDefault="00000000" w:rsidP="00505D27">
          <w:pPr>
            <w:jc w:val="both"/>
            <w:rPr>
              <w:rFonts w:ascii="Garamond" w:eastAsia="Garamond" w:hAnsi="Garamond" w:cs="Garamond"/>
              <w:sz w:val="24"/>
              <w:szCs w:val="24"/>
            </w:rPr>
          </w:pPr>
          <w:sdt>
            <w:sdtPr>
              <w:tag w:val="goog_rdk_129"/>
              <w:id w:val="-7377570"/>
              <w:showingPlcHdr/>
            </w:sdtPr>
            <w:sdtContent>
              <w:r w:rsidR="000B56C6">
                <w:t xml:space="preserve">     </w:t>
              </w:r>
            </w:sdtContent>
          </w:sdt>
        </w:p>
      </w:sdtContent>
    </w:sdt>
    <w:sdt>
      <w:sdtPr>
        <w:tag w:val="goog_rdk_132"/>
        <w:id w:val="1666211274"/>
      </w:sdtPr>
      <w:sdtContent>
        <w:p w14:paraId="4CBE7724" w14:textId="77777777" w:rsidR="00505D27" w:rsidRPr="00885568" w:rsidRDefault="00000000" w:rsidP="00505D27">
          <w:pPr>
            <w:jc w:val="both"/>
            <w:rPr>
              <w:rFonts w:ascii="Garamond" w:eastAsia="Garamond" w:hAnsi="Garamond" w:cs="Garamond"/>
              <w:sz w:val="24"/>
              <w:szCs w:val="24"/>
            </w:rPr>
          </w:pPr>
          <w:sdt>
            <w:sdtPr>
              <w:tag w:val="goog_rdk_131"/>
              <w:id w:val="-447943031"/>
            </w:sdtPr>
            <w:sdtContent>
              <w:r w:rsidR="00505D27" w:rsidRPr="00885568">
                <w:rPr>
                  <w:rFonts w:ascii="Garamond" w:eastAsia="Garamond" w:hAnsi="Garamond" w:cs="Garamond"/>
                  <w:sz w:val="24"/>
                  <w:szCs w:val="24"/>
                </w:rPr>
                <w:t xml:space="preserve">En ese sentido, la Constitución Política establece la colaboración armónica entre Entidades con el fin de lograr un adecuado cumplimiento de los fines del Estado. </w:t>
              </w:r>
            </w:sdtContent>
          </w:sdt>
        </w:p>
      </w:sdtContent>
    </w:sdt>
    <w:sdt>
      <w:sdtPr>
        <w:tag w:val="goog_rdk_134"/>
        <w:id w:val="378607234"/>
      </w:sdtPr>
      <w:sdtContent>
        <w:p w14:paraId="41ED89CD" w14:textId="4005B97F" w:rsidR="00505D27" w:rsidRPr="00885568" w:rsidRDefault="00000000" w:rsidP="00505D27">
          <w:pPr>
            <w:jc w:val="both"/>
            <w:rPr>
              <w:rFonts w:ascii="Garamond" w:eastAsia="Garamond" w:hAnsi="Garamond" w:cs="Garamond"/>
              <w:sz w:val="24"/>
              <w:szCs w:val="24"/>
            </w:rPr>
          </w:pPr>
          <w:sdt>
            <w:sdtPr>
              <w:tag w:val="goog_rdk_133"/>
              <w:id w:val="1915122966"/>
              <w:showingPlcHdr/>
            </w:sdtPr>
            <w:sdtContent>
              <w:r w:rsidR="000B56C6">
                <w:t xml:space="preserve">     </w:t>
              </w:r>
            </w:sdtContent>
          </w:sdt>
        </w:p>
      </w:sdtContent>
    </w:sdt>
    <w:sdt>
      <w:sdtPr>
        <w:tag w:val="goog_rdk_136"/>
        <w:id w:val="-1330139341"/>
      </w:sdtPr>
      <w:sdtContent>
        <w:p w14:paraId="50CC62A0" w14:textId="77777777" w:rsidR="00505D27" w:rsidRPr="00885568" w:rsidRDefault="00000000" w:rsidP="00505D27">
          <w:pPr>
            <w:jc w:val="both"/>
            <w:rPr>
              <w:rFonts w:ascii="Garamond" w:eastAsia="Garamond" w:hAnsi="Garamond" w:cs="Garamond"/>
              <w:sz w:val="24"/>
              <w:szCs w:val="24"/>
            </w:rPr>
          </w:pPr>
          <w:sdt>
            <w:sdtPr>
              <w:tag w:val="goog_rdk_135"/>
              <w:id w:val="-966350306"/>
            </w:sdtPr>
            <w:sdtContent>
              <w:r w:rsidR="00505D27" w:rsidRPr="00885568">
                <w:rPr>
                  <w:rFonts w:ascii="Garamond" w:eastAsia="Garamond" w:hAnsi="Garamond" w:cs="Garamond"/>
                  <w:sz w:val="24"/>
                  <w:szCs w:val="24"/>
                </w:rPr>
                <w:t xml:space="preserve">La Ley 489 de 1998, desarrolla el principio de coordinación y colaboración que debe existir entre las distintas entidades públicas de la siguiente manera: </w:t>
              </w:r>
            </w:sdtContent>
          </w:sdt>
        </w:p>
      </w:sdtContent>
    </w:sdt>
    <w:sdt>
      <w:sdtPr>
        <w:tag w:val="goog_rdk_138"/>
        <w:id w:val="2008784225"/>
      </w:sdtPr>
      <w:sdtContent>
        <w:p w14:paraId="4BF07635" w14:textId="5BBEFFCB" w:rsidR="00505D27" w:rsidRPr="00885568" w:rsidRDefault="00000000" w:rsidP="00505D27">
          <w:pPr>
            <w:jc w:val="both"/>
            <w:rPr>
              <w:rFonts w:ascii="Garamond" w:eastAsia="Garamond" w:hAnsi="Garamond" w:cs="Garamond"/>
              <w:sz w:val="24"/>
              <w:szCs w:val="24"/>
            </w:rPr>
          </w:pPr>
          <w:sdt>
            <w:sdtPr>
              <w:tag w:val="goog_rdk_137"/>
              <w:id w:val="-1421323900"/>
              <w:showingPlcHdr/>
            </w:sdtPr>
            <w:sdtContent>
              <w:r w:rsidR="000B56C6">
                <w:t xml:space="preserve">     </w:t>
              </w:r>
            </w:sdtContent>
          </w:sdt>
        </w:p>
      </w:sdtContent>
    </w:sdt>
    <w:sdt>
      <w:sdtPr>
        <w:tag w:val="goog_rdk_140"/>
        <w:id w:val="-341469564"/>
      </w:sdtPr>
      <w:sdtContent>
        <w:p w14:paraId="62F3A02D" w14:textId="77777777" w:rsidR="00505D27" w:rsidRPr="00885568" w:rsidRDefault="00000000" w:rsidP="00505D27">
          <w:pPr>
            <w:jc w:val="both"/>
            <w:rPr>
              <w:rFonts w:ascii="Garamond" w:eastAsia="Garamond" w:hAnsi="Garamond" w:cs="Garamond"/>
              <w:sz w:val="24"/>
              <w:szCs w:val="24"/>
            </w:rPr>
          </w:pPr>
          <w:sdt>
            <w:sdtPr>
              <w:tag w:val="goog_rdk_139"/>
              <w:id w:val="-357422543"/>
            </w:sdtPr>
            <w:sdtContent>
              <w:r w:rsidR="00505D27" w:rsidRPr="00885568">
                <w:rPr>
                  <w:rFonts w:ascii="Garamond" w:eastAsia="Garamond" w:hAnsi="Garamond" w:cs="Garamond"/>
                  <w:sz w:val="24"/>
                  <w:szCs w:val="24"/>
                </w:rPr>
                <w:t xml:space="preserve">“...Articulo 6.- Principio de coordinación. En virtud del principio de coordinación y colaboración, las autoridades administrativas deben garantizar la armonía en el ejercicio de sus respectivas funciones con el fin de lograr los fines y cometidos estatales. </w:t>
              </w:r>
            </w:sdtContent>
          </w:sdt>
        </w:p>
      </w:sdtContent>
    </w:sdt>
    <w:sdt>
      <w:sdtPr>
        <w:tag w:val="goog_rdk_142"/>
        <w:id w:val="-1698610888"/>
      </w:sdtPr>
      <w:sdtContent>
        <w:p w14:paraId="3754BEC8" w14:textId="483F732C" w:rsidR="00505D27" w:rsidRPr="00885568" w:rsidRDefault="00000000" w:rsidP="00505D27">
          <w:pPr>
            <w:jc w:val="both"/>
            <w:rPr>
              <w:rFonts w:ascii="Garamond" w:eastAsia="Garamond" w:hAnsi="Garamond" w:cs="Garamond"/>
              <w:sz w:val="24"/>
              <w:szCs w:val="24"/>
            </w:rPr>
          </w:pPr>
          <w:sdt>
            <w:sdtPr>
              <w:tag w:val="goog_rdk_141"/>
              <w:id w:val="-1575731573"/>
              <w:showingPlcHdr/>
            </w:sdtPr>
            <w:sdtContent>
              <w:r w:rsidR="000B56C6">
                <w:t xml:space="preserve">     </w:t>
              </w:r>
            </w:sdtContent>
          </w:sdt>
        </w:p>
      </w:sdtContent>
    </w:sdt>
    <w:sdt>
      <w:sdtPr>
        <w:tag w:val="goog_rdk_144"/>
        <w:id w:val="148563906"/>
      </w:sdtPr>
      <w:sdtContent>
        <w:p w14:paraId="4927CFBA" w14:textId="77777777" w:rsidR="00505D27" w:rsidRPr="00885568" w:rsidRDefault="00000000" w:rsidP="00505D27">
          <w:pPr>
            <w:jc w:val="both"/>
            <w:rPr>
              <w:rFonts w:ascii="Garamond" w:eastAsia="Garamond" w:hAnsi="Garamond" w:cs="Garamond"/>
              <w:sz w:val="24"/>
              <w:szCs w:val="24"/>
            </w:rPr>
          </w:pPr>
          <w:sdt>
            <w:sdtPr>
              <w:tag w:val="goog_rdk_143"/>
              <w:id w:val="1646548550"/>
            </w:sdtPr>
            <w:sdtContent>
              <w:r w:rsidR="00505D27" w:rsidRPr="00885568">
                <w:rPr>
                  <w:rFonts w:ascii="Garamond" w:eastAsia="Garamond" w:hAnsi="Garamond" w:cs="Garamond"/>
                  <w:sz w:val="24"/>
                  <w:szCs w:val="24"/>
                </w:rPr>
                <w:t xml:space="preserve">En consecuencia, prestarán su colaboración a las demás entidades para facilitar el ejercicio de sus funciones y se abstendrán de impedir o estorbar su cumplimiento por los órganos, dependencias, organismos y entidades titulares...” </w:t>
              </w:r>
            </w:sdtContent>
          </w:sdt>
        </w:p>
      </w:sdtContent>
    </w:sdt>
    <w:sdt>
      <w:sdtPr>
        <w:tag w:val="goog_rdk_146"/>
        <w:id w:val="-609587802"/>
      </w:sdtPr>
      <w:sdtContent>
        <w:p w14:paraId="175900F1" w14:textId="41ACB185" w:rsidR="00505D27" w:rsidRPr="00885568" w:rsidRDefault="00000000" w:rsidP="00505D27">
          <w:pPr>
            <w:jc w:val="both"/>
            <w:rPr>
              <w:rFonts w:ascii="Garamond" w:eastAsia="Garamond" w:hAnsi="Garamond" w:cs="Garamond"/>
              <w:sz w:val="24"/>
              <w:szCs w:val="24"/>
            </w:rPr>
          </w:pPr>
          <w:sdt>
            <w:sdtPr>
              <w:tag w:val="goog_rdk_145"/>
              <w:id w:val="1613933942"/>
              <w:showingPlcHdr/>
            </w:sdtPr>
            <w:sdtContent>
              <w:r w:rsidR="000B56C6">
                <w:t xml:space="preserve">     </w:t>
              </w:r>
            </w:sdtContent>
          </w:sdt>
        </w:p>
      </w:sdtContent>
    </w:sdt>
    <w:sdt>
      <w:sdtPr>
        <w:tag w:val="goog_rdk_148"/>
        <w:id w:val="-443844312"/>
      </w:sdtPr>
      <w:sdtContent>
        <w:p w14:paraId="4C85E661" w14:textId="77777777" w:rsidR="00505D27" w:rsidRPr="00885568" w:rsidRDefault="00000000" w:rsidP="00505D27">
          <w:pPr>
            <w:jc w:val="both"/>
            <w:rPr>
              <w:rFonts w:ascii="Garamond" w:eastAsia="Garamond" w:hAnsi="Garamond" w:cs="Garamond"/>
              <w:sz w:val="24"/>
              <w:szCs w:val="24"/>
            </w:rPr>
          </w:pPr>
          <w:sdt>
            <w:sdtPr>
              <w:tag w:val="goog_rdk_147"/>
              <w:id w:val="-480691762"/>
            </w:sdtPr>
            <w:sdtContent>
              <w:r w:rsidR="00505D27" w:rsidRPr="00885568">
                <w:rPr>
                  <w:rFonts w:ascii="Garamond" w:eastAsia="Garamond" w:hAnsi="Garamond" w:cs="Garamond"/>
                  <w:sz w:val="24"/>
                  <w:szCs w:val="24"/>
                </w:rPr>
                <w:t xml:space="preserve">Respecto a que quienes se denominan Entidades Estatales para efectos del Estatuto General de Contratación, la Ley 80 de 1993 en su artículo 2, dispone: </w:t>
              </w:r>
            </w:sdtContent>
          </w:sdt>
        </w:p>
      </w:sdtContent>
    </w:sdt>
    <w:sdt>
      <w:sdtPr>
        <w:tag w:val="goog_rdk_150"/>
        <w:id w:val="1429921585"/>
      </w:sdtPr>
      <w:sdtContent>
        <w:p w14:paraId="47E4065B" w14:textId="5F6CEAFA" w:rsidR="00505D27" w:rsidRPr="00885568" w:rsidRDefault="00000000" w:rsidP="00505D27">
          <w:pPr>
            <w:jc w:val="both"/>
            <w:rPr>
              <w:rFonts w:ascii="Garamond" w:eastAsia="Garamond" w:hAnsi="Garamond" w:cs="Garamond"/>
              <w:sz w:val="24"/>
              <w:szCs w:val="24"/>
            </w:rPr>
          </w:pPr>
          <w:sdt>
            <w:sdtPr>
              <w:tag w:val="goog_rdk_149"/>
              <w:id w:val="1243689611"/>
              <w:showingPlcHdr/>
            </w:sdtPr>
            <w:sdtContent>
              <w:r w:rsidR="000B56C6">
                <w:t xml:space="preserve">     </w:t>
              </w:r>
            </w:sdtContent>
          </w:sdt>
        </w:p>
      </w:sdtContent>
    </w:sdt>
    <w:sdt>
      <w:sdtPr>
        <w:tag w:val="goog_rdk_152"/>
        <w:id w:val="-1637712470"/>
      </w:sdtPr>
      <w:sdtContent>
        <w:p w14:paraId="11D4B936" w14:textId="77777777" w:rsidR="00505D27" w:rsidRPr="00885568" w:rsidRDefault="00000000" w:rsidP="00505D27">
          <w:pPr>
            <w:jc w:val="both"/>
            <w:rPr>
              <w:rFonts w:ascii="Garamond" w:eastAsia="Garamond" w:hAnsi="Garamond" w:cs="Garamond"/>
              <w:sz w:val="24"/>
              <w:szCs w:val="24"/>
            </w:rPr>
          </w:pPr>
          <w:sdt>
            <w:sdtPr>
              <w:tag w:val="goog_rdk_151"/>
              <w:id w:val="-930046025"/>
            </w:sdtPr>
            <w:sdtContent>
              <w:r w:rsidR="00505D27" w:rsidRPr="00885568">
                <w:rPr>
                  <w:rFonts w:ascii="Garamond" w:eastAsia="Garamond" w:hAnsi="Garamond" w:cs="Garamond"/>
                  <w:sz w:val="24"/>
                  <w:szCs w:val="24"/>
                </w:rPr>
                <w:t>“...1o. Se denominan entidades estatales:</w:t>
              </w:r>
            </w:sdtContent>
          </w:sdt>
        </w:p>
      </w:sdtContent>
    </w:sdt>
    <w:sdt>
      <w:sdtPr>
        <w:tag w:val="goog_rdk_154"/>
        <w:id w:val="1531830190"/>
      </w:sdtPr>
      <w:sdtContent>
        <w:p w14:paraId="28D21287" w14:textId="52B3792F" w:rsidR="00505D27" w:rsidRPr="00885568" w:rsidRDefault="00000000" w:rsidP="00505D27">
          <w:pPr>
            <w:jc w:val="both"/>
            <w:rPr>
              <w:rFonts w:ascii="Garamond" w:eastAsia="Garamond" w:hAnsi="Garamond" w:cs="Garamond"/>
              <w:sz w:val="24"/>
              <w:szCs w:val="24"/>
            </w:rPr>
          </w:pPr>
          <w:sdt>
            <w:sdtPr>
              <w:tag w:val="goog_rdk_153"/>
              <w:id w:val="758248343"/>
              <w:showingPlcHdr/>
            </w:sdtPr>
            <w:sdtContent>
              <w:r w:rsidR="000B56C6">
                <w:t xml:space="preserve">     </w:t>
              </w:r>
            </w:sdtContent>
          </w:sdt>
        </w:p>
      </w:sdtContent>
    </w:sdt>
    <w:sdt>
      <w:sdtPr>
        <w:tag w:val="goog_rdk_156"/>
        <w:id w:val="-1473596372"/>
      </w:sdtPr>
      <w:sdtContent>
        <w:p w14:paraId="1E1D8A94" w14:textId="77777777" w:rsidR="00505D27" w:rsidRPr="00885568" w:rsidRDefault="00000000" w:rsidP="00505D27">
          <w:pPr>
            <w:jc w:val="both"/>
            <w:rPr>
              <w:rFonts w:ascii="Garamond" w:eastAsia="Garamond" w:hAnsi="Garamond" w:cs="Garamond"/>
              <w:sz w:val="24"/>
              <w:szCs w:val="24"/>
            </w:rPr>
          </w:pPr>
          <w:sdt>
            <w:sdtPr>
              <w:tag w:val="goog_rdk_155"/>
              <w:id w:val="-1921090925"/>
            </w:sdtPr>
            <w:sdtContent>
              <w:r w:rsidR="00505D27" w:rsidRPr="00885568">
                <w:rPr>
                  <w:rFonts w:ascii="Garamond" w:eastAsia="Garamond" w:hAnsi="Garamond" w:cs="Garamond"/>
                  <w:sz w:val="24"/>
                  <w:szCs w:val="24"/>
                </w:rPr>
                <w:t xml:space="preserve"> a) La Nación, las regiones, los departamentos, las provincias, el distrito capital y los distritos especiales, las áreas metropolitanas, las asociaciones de municipios, los territorios indígenas y los municipios; los establecimientos públicos, las empresas industriales y comerciales del Estado, las sociedades de economía mixta en las que el Estado tenga participación superior al cincuenta por ciento (50%), así como las entidades descentralizadas indirectas y las demás personas jurídicas en las que exista dicha participación pública mayoritaria, cualquiera sea la denominación que ellas adopten, en todos los órdenes y niveles...”.</w:t>
              </w:r>
            </w:sdtContent>
          </w:sdt>
        </w:p>
      </w:sdtContent>
    </w:sdt>
    <w:sdt>
      <w:sdtPr>
        <w:tag w:val="goog_rdk_158"/>
        <w:id w:val="-554397968"/>
      </w:sdtPr>
      <w:sdtContent>
        <w:p w14:paraId="6E5A18D1" w14:textId="3B4F2BC7" w:rsidR="00505D27" w:rsidRPr="00885568" w:rsidRDefault="00000000" w:rsidP="00505D27">
          <w:pPr>
            <w:jc w:val="both"/>
            <w:rPr>
              <w:rFonts w:ascii="Garamond" w:eastAsia="Garamond" w:hAnsi="Garamond" w:cs="Garamond"/>
              <w:sz w:val="24"/>
              <w:szCs w:val="24"/>
            </w:rPr>
          </w:pPr>
          <w:sdt>
            <w:sdtPr>
              <w:tag w:val="goog_rdk_157"/>
              <w:id w:val="1703359853"/>
              <w:showingPlcHdr/>
            </w:sdtPr>
            <w:sdtContent>
              <w:r w:rsidR="000B56C6">
                <w:t xml:space="preserve">     </w:t>
              </w:r>
            </w:sdtContent>
          </w:sdt>
        </w:p>
      </w:sdtContent>
    </w:sdt>
    <w:sdt>
      <w:sdtPr>
        <w:tag w:val="goog_rdk_160"/>
        <w:id w:val="-1340615915"/>
      </w:sdtPr>
      <w:sdtContent>
        <w:p w14:paraId="11770DF4" w14:textId="77777777" w:rsidR="00505D27" w:rsidRPr="00885568" w:rsidRDefault="00000000" w:rsidP="00505D27">
          <w:pPr>
            <w:jc w:val="both"/>
            <w:rPr>
              <w:rFonts w:ascii="Garamond" w:eastAsia="Garamond" w:hAnsi="Garamond" w:cs="Garamond"/>
              <w:sz w:val="24"/>
              <w:szCs w:val="24"/>
            </w:rPr>
          </w:pPr>
          <w:sdt>
            <w:sdtPr>
              <w:tag w:val="goog_rdk_159"/>
              <w:id w:val="-142663642"/>
            </w:sdtPr>
            <w:sdtContent>
              <w:r w:rsidR="00505D27" w:rsidRPr="00885568">
                <w:rPr>
                  <w:rFonts w:ascii="Garamond" w:eastAsia="Garamond" w:hAnsi="Garamond" w:cs="Garamond"/>
                  <w:sz w:val="24"/>
                  <w:szCs w:val="24"/>
                </w:rPr>
                <w:t>En el mismo sentido, el artículo lo 38 de la mencionada Ley, define la integración de la Rama Ejecutiva del Poder Público del orden nacional así :</w:t>
              </w:r>
            </w:sdtContent>
          </w:sdt>
        </w:p>
      </w:sdtContent>
    </w:sdt>
    <w:sdt>
      <w:sdtPr>
        <w:tag w:val="goog_rdk_162"/>
        <w:id w:val="-2055526586"/>
      </w:sdtPr>
      <w:sdtContent>
        <w:p w14:paraId="1F5EFF37" w14:textId="77777777" w:rsidR="00505D27" w:rsidRPr="00885568" w:rsidRDefault="00000000" w:rsidP="00505D27">
          <w:pPr>
            <w:jc w:val="both"/>
            <w:rPr>
              <w:rFonts w:ascii="Garamond" w:eastAsia="Garamond" w:hAnsi="Garamond" w:cs="Garamond"/>
              <w:sz w:val="24"/>
              <w:szCs w:val="24"/>
            </w:rPr>
          </w:pPr>
          <w:sdt>
            <w:sdtPr>
              <w:tag w:val="goog_rdk_161"/>
              <w:id w:val="865874546"/>
            </w:sdtPr>
            <w:sdtContent>
              <w:r w:rsidR="00505D27" w:rsidRPr="00885568">
                <w:rPr>
                  <w:rFonts w:ascii="Garamond" w:eastAsia="Garamond" w:hAnsi="Garamond" w:cs="Garamond"/>
                  <w:sz w:val="24"/>
                  <w:szCs w:val="24"/>
                </w:rPr>
                <w:t xml:space="preserve">“...2. Del Sector descentralizado por servicios. (...) f) Las sociedades públicas y las sociedades de economía mixta; g) Las demás entidades administrativas nacionales con personería jurídica que cree, organice o autorice la ley para que formen parte de la Rama Ejecutiva del Poder público. </w:t>
              </w:r>
            </w:sdtContent>
          </w:sdt>
        </w:p>
      </w:sdtContent>
    </w:sdt>
    <w:sdt>
      <w:sdtPr>
        <w:tag w:val="goog_rdk_164"/>
        <w:id w:val="1801268011"/>
      </w:sdtPr>
      <w:sdtContent>
        <w:p w14:paraId="1A71B5F4" w14:textId="1751B8F1" w:rsidR="00505D27" w:rsidRPr="00885568" w:rsidRDefault="00000000" w:rsidP="00505D27">
          <w:pPr>
            <w:jc w:val="both"/>
            <w:rPr>
              <w:rFonts w:ascii="Garamond" w:eastAsia="Garamond" w:hAnsi="Garamond" w:cs="Garamond"/>
              <w:sz w:val="24"/>
              <w:szCs w:val="24"/>
            </w:rPr>
          </w:pPr>
          <w:sdt>
            <w:sdtPr>
              <w:tag w:val="goog_rdk_163"/>
              <w:id w:val="-10457019"/>
              <w:showingPlcHdr/>
            </w:sdtPr>
            <w:sdtContent>
              <w:r w:rsidR="000B56C6">
                <w:t xml:space="preserve">     </w:t>
              </w:r>
            </w:sdtContent>
          </w:sdt>
        </w:p>
      </w:sdtContent>
    </w:sdt>
    <w:sdt>
      <w:sdtPr>
        <w:tag w:val="goog_rdk_166"/>
        <w:id w:val="703369709"/>
      </w:sdtPr>
      <w:sdtContent>
        <w:p w14:paraId="175E045F" w14:textId="77777777" w:rsidR="00505D27" w:rsidRPr="00885568" w:rsidRDefault="00000000" w:rsidP="00505D27">
          <w:pPr>
            <w:jc w:val="both"/>
            <w:rPr>
              <w:rFonts w:ascii="Garamond" w:eastAsia="Garamond" w:hAnsi="Garamond" w:cs="Garamond"/>
              <w:sz w:val="24"/>
              <w:szCs w:val="24"/>
            </w:rPr>
          </w:pPr>
          <w:sdt>
            <w:sdtPr>
              <w:tag w:val="goog_rdk_165"/>
              <w:id w:val="1754628145"/>
            </w:sdtPr>
            <w:sdtContent>
              <w:r w:rsidR="00505D27" w:rsidRPr="00885568">
                <w:rPr>
                  <w:rFonts w:ascii="Garamond" w:eastAsia="Garamond" w:hAnsi="Garamond" w:cs="Garamond"/>
                  <w:sz w:val="24"/>
                  <w:szCs w:val="24"/>
                </w:rPr>
                <w:t>El artículo 85 de la Ley 489 de 1998 define las empresas industriales y comerciales del Estado:</w:t>
              </w:r>
            </w:sdtContent>
          </w:sdt>
        </w:p>
      </w:sdtContent>
    </w:sdt>
    <w:sdt>
      <w:sdtPr>
        <w:tag w:val="goog_rdk_168"/>
        <w:id w:val="1430400022"/>
      </w:sdtPr>
      <w:sdtContent>
        <w:p w14:paraId="0CDA62DE" w14:textId="77777777" w:rsidR="00505D27" w:rsidRPr="00885568" w:rsidRDefault="00000000" w:rsidP="00505D27">
          <w:pPr>
            <w:jc w:val="both"/>
            <w:rPr>
              <w:rFonts w:ascii="Garamond" w:eastAsia="Garamond" w:hAnsi="Garamond" w:cs="Garamond"/>
              <w:sz w:val="24"/>
              <w:szCs w:val="24"/>
            </w:rPr>
          </w:pPr>
          <w:sdt>
            <w:sdtPr>
              <w:tag w:val="goog_rdk_167"/>
              <w:id w:val="-1577357937"/>
              <w:showingPlcHdr/>
            </w:sdtPr>
            <w:sdtContent>
              <w:r w:rsidR="00505D27" w:rsidRPr="00885568">
                <w:t xml:space="preserve">     </w:t>
              </w:r>
            </w:sdtContent>
          </w:sdt>
        </w:p>
      </w:sdtContent>
    </w:sdt>
    <w:sdt>
      <w:sdtPr>
        <w:tag w:val="goog_rdk_170"/>
        <w:id w:val="-1696527796"/>
      </w:sdtPr>
      <w:sdtContent>
        <w:p w14:paraId="310F9486" w14:textId="77777777" w:rsidR="00505D27" w:rsidRPr="00885568" w:rsidRDefault="00000000" w:rsidP="00505D27">
          <w:pPr>
            <w:jc w:val="both"/>
            <w:rPr>
              <w:rFonts w:ascii="Garamond" w:eastAsia="Garamond" w:hAnsi="Garamond" w:cs="Garamond"/>
              <w:sz w:val="24"/>
              <w:szCs w:val="24"/>
            </w:rPr>
          </w:pPr>
          <w:sdt>
            <w:sdtPr>
              <w:tag w:val="goog_rdk_169"/>
              <w:id w:val="-1518066840"/>
            </w:sdtPr>
            <w:sdtContent>
              <w:r w:rsidR="00505D27" w:rsidRPr="00885568">
                <w:rPr>
                  <w:rFonts w:ascii="Garamond" w:eastAsia="Garamond" w:hAnsi="Garamond" w:cs="Garamond"/>
                  <w:sz w:val="24"/>
                  <w:szCs w:val="24"/>
                </w:rPr>
                <w:t xml:space="preserve">“... Artículo 85.- Empresas Industriales y Comerciales Del Estado. Las empresas industriales y comerciales del Estado son organismos creados por la ley o autorizados por ésta, que desarrollan actividades de naturaleza industrial o comercial y de gestión económica conforme a las reglas del Derecho Privado, salvo las excepciones que consagra la ley, y que reúnen las siguientes características: (...)”. </w:t>
              </w:r>
            </w:sdtContent>
          </w:sdt>
        </w:p>
      </w:sdtContent>
    </w:sdt>
    <w:sdt>
      <w:sdtPr>
        <w:tag w:val="goog_rdk_172"/>
        <w:id w:val="1166905529"/>
      </w:sdtPr>
      <w:sdtContent>
        <w:p w14:paraId="3DC1A329" w14:textId="71E22C96" w:rsidR="00505D27" w:rsidRPr="00885568" w:rsidRDefault="00000000" w:rsidP="00505D27">
          <w:pPr>
            <w:jc w:val="both"/>
            <w:rPr>
              <w:rFonts w:ascii="Garamond" w:eastAsia="Garamond" w:hAnsi="Garamond" w:cs="Garamond"/>
              <w:sz w:val="24"/>
              <w:szCs w:val="24"/>
            </w:rPr>
          </w:pPr>
          <w:sdt>
            <w:sdtPr>
              <w:tag w:val="goog_rdk_171"/>
              <w:id w:val="1340505201"/>
              <w:showingPlcHdr/>
            </w:sdtPr>
            <w:sdtContent>
              <w:r w:rsidR="000B56C6">
                <w:t xml:space="preserve">     </w:t>
              </w:r>
            </w:sdtContent>
          </w:sdt>
        </w:p>
      </w:sdtContent>
    </w:sdt>
    <w:p w14:paraId="489D2480" w14:textId="77777777" w:rsidR="00505D27" w:rsidRPr="00885568" w:rsidRDefault="00000000" w:rsidP="00505D27">
      <w:pPr>
        <w:contextualSpacing/>
        <w:jc w:val="both"/>
        <w:rPr>
          <w:rFonts w:ascii="Garamond" w:eastAsia="Calibri" w:hAnsi="Garamond" w:cs="Calibri"/>
          <w:kern w:val="2"/>
          <w:sz w:val="24"/>
          <w:szCs w:val="24"/>
          <w:lang w:eastAsia="en-US"/>
          <w14:ligatures w14:val="standardContextual"/>
        </w:rPr>
      </w:pPr>
      <w:sdt>
        <w:sdtPr>
          <w:tag w:val="goog_rdk_174"/>
          <w:id w:val="1315601949"/>
        </w:sdtPr>
        <w:sdtContent>
          <w:sdt>
            <w:sdtPr>
              <w:tag w:val="goog_rdk_173"/>
              <w:id w:val="1873347848"/>
            </w:sdtPr>
            <w:sdtContent>
              <w:r w:rsidR="00505D27" w:rsidRPr="00885568">
                <w:rPr>
                  <w:rFonts w:ascii="Garamond" w:eastAsia="Garamond" w:hAnsi="Garamond" w:cs="Garamond"/>
                  <w:sz w:val="24"/>
                  <w:szCs w:val="24"/>
                </w:rPr>
                <w:t xml:space="preserve">La modalidad de selección escogida, se fundamenta jurídicamente en las siguientes normas: </w:t>
              </w:r>
            </w:sdtContent>
          </w:sdt>
        </w:sdtContent>
      </w:sdt>
    </w:p>
    <w:p w14:paraId="4F8E1CB7" w14:textId="77777777" w:rsidR="00505D27" w:rsidRPr="00885568" w:rsidRDefault="00505D27" w:rsidP="00505D27">
      <w:pPr>
        <w:contextualSpacing/>
        <w:jc w:val="both"/>
        <w:rPr>
          <w:rFonts w:ascii="Garamond" w:eastAsia="Calibri" w:hAnsi="Garamond" w:cs="Calibri"/>
          <w:kern w:val="2"/>
          <w:sz w:val="24"/>
          <w:szCs w:val="24"/>
          <w:lang w:eastAsia="en-US"/>
          <w14:ligatures w14:val="standardContextual"/>
        </w:rPr>
      </w:pPr>
    </w:p>
    <w:p w14:paraId="19F066A2" w14:textId="77777777" w:rsidR="00505D27" w:rsidRPr="00885568" w:rsidRDefault="00505D27" w:rsidP="00505D27">
      <w:pPr>
        <w:contextualSpacing/>
        <w:jc w:val="both"/>
        <w:rPr>
          <w:rFonts w:ascii="Garamond" w:eastAsia="Calibri" w:hAnsi="Garamond" w:cs="Calibri"/>
          <w:kern w:val="2"/>
          <w:sz w:val="24"/>
          <w:szCs w:val="24"/>
          <w:lang w:eastAsia="en-US"/>
          <w14:ligatures w14:val="standardContextual"/>
        </w:rPr>
      </w:pPr>
      <w:r w:rsidRPr="00885568">
        <w:rPr>
          <w:rFonts w:ascii="Garamond" w:eastAsia="Calibri" w:hAnsi="Garamond" w:cs="Calibri"/>
          <w:kern w:val="2"/>
          <w:sz w:val="24"/>
          <w:szCs w:val="24"/>
          <w:lang w:eastAsia="en-US"/>
          <w14:ligatures w14:val="standardContextual"/>
        </w:rPr>
        <w:t xml:space="preserve">Lo primero es indicar que el artículo 92 de la Ley 1474 de 2011, que modificó el literal c del numeral 4 del artículo 2 de la Ley 1150 de 2007, establece que los convenios -contratos interadministrativos son una causal de contratación directa, al indicar: </w:t>
      </w:r>
      <w:r w:rsidRPr="00885568">
        <w:rPr>
          <w:rFonts w:ascii="Garamond" w:eastAsia="Calibri" w:hAnsi="Garamond" w:cs="Calibri"/>
          <w:i/>
          <w:iCs/>
          <w:kern w:val="2"/>
          <w:sz w:val="24"/>
          <w:szCs w:val="24"/>
          <w:lang w:eastAsia="en-US"/>
          <w14:ligatures w14:val="standardContextual"/>
        </w:rPr>
        <w:t xml:space="preserve">“Contratos interadministrativos, siempre que las obligaciones derivadas del mismo tengan relación directa con el objeto de la entidad ejecutora señalado en la ley o en sus reglamentos. (…)”. </w:t>
      </w:r>
      <w:r w:rsidRPr="00885568">
        <w:rPr>
          <w:rFonts w:ascii="Garamond" w:eastAsia="Calibri" w:hAnsi="Garamond" w:cs="Calibri"/>
          <w:kern w:val="2"/>
          <w:sz w:val="24"/>
          <w:szCs w:val="24"/>
          <w:lang w:eastAsia="en-US"/>
          <w14:ligatures w14:val="standardContextual"/>
        </w:rPr>
        <w:t>En este contexto, a continuación, se realiza un análisis normativo de las disposiciones aplicables a estos convenios.</w:t>
      </w:r>
    </w:p>
    <w:p w14:paraId="369E19A3" w14:textId="77777777" w:rsidR="00505D27" w:rsidRPr="00885568" w:rsidRDefault="00505D27" w:rsidP="00505D27">
      <w:pPr>
        <w:ind w:left="360"/>
        <w:contextualSpacing/>
        <w:jc w:val="both"/>
        <w:rPr>
          <w:rFonts w:ascii="Garamond" w:eastAsia="Calibri" w:hAnsi="Garamond" w:cs="Calibri"/>
          <w:b/>
          <w:bCs/>
          <w:kern w:val="2"/>
          <w:sz w:val="24"/>
          <w:szCs w:val="24"/>
          <w:lang w:eastAsia="en-US"/>
          <w14:ligatures w14:val="standardContextual"/>
        </w:rPr>
      </w:pPr>
    </w:p>
    <w:p w14:paraId="6A4A5250" w14:textId="77777777" w:rsidR="00505D27" w:rsidRPr="00885568" w:rsidRDefault="00505D27" w:rsidP="00505D27">
      <w:pPr>
        <w:jc w:val="both"/>
        <w:rPr>
          <w:rFonts w:ascii="Garamond" w:eastAsia="Calibri" w:hAnsi="Garamond" w:cs="Calibri"/>
          <w:i/>
          <w:iCs/>
          <w:kern w:val="2"/>
          <w:sz w:val="24"/>
          <w:szCs w:val="24"/>
          <w:lang w:eastAsia="en-US"/>
          <w14:ligatures w14:val="standardContextual"/>
        </w:rPr>
      </w:pPr>
      <w:r w:rsidRPr="00885568">
        <w:rPr>
          <w:rFonts w:ascii="Garamond" w:eastAsia="Calibri" w:hAnsi="Garamond" w:cs="Calibri"/>
          <w:kern w:val="2"/>
          <w:sz w:val="24"/>
          <w:szCs w:val="24"/>
          <w:lang w:eastAsia="en-US"/>
          <w14:ligatures w14:val="standardContextual"/>
        </w:rPr>
        <w:t>De conformidad con el artículo 2.2.1.2.1.4.4 del Decreto 1082 de 2015 “</w:t>
      </w:r>
      <w:r w:rsidRPr="00885568">
        <w:rPr>
          <w:rFonts w:ascii="Garamond" w:eastAsia="Calibri" w:hAnsi="Garamond" w:cs="Calibri"/>
          <w:i/>
          <w:iCs/>
          <w:kern w:val="2"/>
          <w:sz w:val="24"/>
          <w:szCs w:val="24"/>
          <w:lang w:eastAsia="en-US"/>
          <w14:ligatures w14:val="standardContextual"/>
        </w:rPr>
        <w:t>La modalidad de selección para la contratación entre Entidades Estatales es la contratación directa; y en consecuencia, le es aplicable lo establecido en el artículo 2.2.1.2.1.4.1 del presente decreto.”</w:t>
      </w:r>
    </w:p>
    <w:p w14:paraId="4044A792" w14:textId="77777777" w:rsidR="00505D27" w:rsidRPr="00885568" w:rsidRDefault="00505D27" w:rsidP="00505D27">
      <w:pPr>
        <w:ind w:left="720"/>
        <w:contextualSpacing/>
        <w:jc w:val="both"/>
        <w:rPr>
          <w:rFonts w:ascii="Garamond" w:eastAsia="Calibri" w:hAnsi="Garamond" w:cs="Calibri"/>
          <w:i/>
          <w:iCs/>
          <w:kern w:val="2"/>
          <w:sz w:val="24"/>
          <w:szCs w:val="24"/>
          <w:lang w:eastAsia="en-US"/>
          <w14:ligatures w14:val="standardContextual"/>
        </w:rPr>
      </w:pPr>
    </w:p>
    <w:p w14:paraId="24DD6415" w14:textId="77777777" w:rsidR="00505D27" w:rsidRPr="00885568" w:rsidRDefault="00505D27" w:rsidP="00505D27">
      <w:pPr>
        <w:jc w:val="both"/>
        <w:rPr>
          <w:rFonts w:ascii="Garamond" w:eastAsia="Calibri" w:hAnsi="Garamond" w:cs="Calibri"/>
          <w:i/>
          <w:iCs/>
          <w:sz w:val="24"/>
          <w:szCs w:val="24"/>
        </w:rPr>
      </w:pPr>
      <w:r w:rsidRPr="00885568">
        <w:rPr>
          <w:rFonts w:ascii="Garamond" w:eastAsia="Calibri" w:hAnsi="Garamond" w:cs="Calibri"/>
          <w:i/>
          <w:iCs/>
          <w:sz w:val="24"/>
          <w:szCs w:val="24"/>
        </w:rPr>
        <w:t xml:space="preserve">ARTÍCULO 2.2.1.2.1.4.1. </w:t>
      </w:r>
      <w:r w:rsidRPr="00885568">
        <w:rPr>
          <w:rFonts w:ascii="Garamond" w:eastAsia="Calibri" w:hAnsi="Garamond" w:cs="Calibri"/>
          <w:b/>
          <w:bCs/>
          <w:i/>
          <w:iCs/>
          <w:sz w:val="24"/>
          <w:szCs w:val="24"/>
        </w:rPr>
        <w:t>Acto administrativo de justificación de la contratación directa</w:t>
      </w:r>
      <w:r w:rsidRPr="00885568">
        <w:rPr>
          <w:rFonts w:ascii="Garamond" w:eastAsia="Calibri" w:hAnsi="Garamond" w:cs="Calibri"/>
          <w:i/>
          <w:iCs/>
          <w:sz w:val="24"/>
          <w:szCs w:val="24"/>
        </w:rPr>
        <w:t xml:space="preserve">. La Entidad Estatal debe señalar en un acto administrativo la justificación para contratar bajo la modalidad de </w:t>
      </w:r>
      <w:r w:rsidRPr="00885568">
        <w:rPr>
          <w:rFonts w:ascii="Garamond" w:eastAsia="Calibri" w:hAnsi="Garamond" w:cs="Calibri"/>
          <w:b/>
          <w:bCs/>
          <w:i/>
          <w:iCs/>
          <w:sz w:val="24"/>
          <w:szCs w:val="24"/>
        </w:rPr>
        <w:t>contratación directa</w:t>
      </w:r>
      <w:r w:rsidRPr="00885568">
        <w:rPr>
          <w:rFonts w:ascii="Garamond" w:eastAsia="Calibri" w:hAnsi="Garamond" w:cs="Calibri"/>
          <w:i/>
          <w:iCs/>
          <w:sz w:val="24"/>
          <w:szCs w:val="24"/>
        </w:rPr>
        <w:t>” (…)</w:t>
      </w:r>
    </w:p>
    <w:p w14:paraId="5C553D83" w14:textId="77777777" w:rsidR="00505D27" w:rsidRPr="00885568" w:rsidRDefault="00505D27" w:rsidP="00505D27">
      <w:pPr>
        <w:ind w:left="1080"/>
        <w:contextualSpacing/>
        <w:jc w:val="both"/>
        <w:rPr>
          <w:rFonts w:ascii="Garamond" w:eastAsia="Calibri" w:hAnsi="Garamond" w:cs="Calibri"/>
          <w:i/>
          <w:iCs/>
          <w:kern w:val="2"/>
          <w:sz w:val="24"/>
          <w:szCs w:val="24"/>
          <w:lang w:eastAsia="en-US"/>
          <w14:ligatures w14:val="standardContextual"/>
        </w:rPr>
      </w:pPr>
    </w:p>
    <w:p w14:paraId="4D25BA28" w14:textId="77777777" w:rsidR="00505D27" w:rsidRPr="00885568" w:rsidRDefault="00505D27" w:rsidP="00505D27">
      <w:pPr>
        <w:spacing w:after="160" w:line="259" w:lineRule="auto"/>
        <w:contextualSpacing/>
        <w:jc w:val="both"/>
        <w:rPr>
          <w:rFonts w:ascii="Garamond" w:eastAsia="Calibri" w:hAnsi="Garamond" w:cs="Calibri"/>
          <w:kern w:val="2"/>
          <w:sz w:val="24"/>
          <w:szCs w:val="24"/>
          <w:lang w:eastAsia="en-US"/>
          <w14:ligatures w14:val="standardContextual"/>
        </w:rPr>
      </w:pPr>
      <w:r w:rsidRPr="00885568">
        <w:rPr>
          <w:rFonts w:ascii="Garamond" w:eastAsia="Calibri" w:hAnsi="Garamond" w:cs="Calibri"/>
          <w:b/>
          <w:bCs/>
          <w:kern w:val="2"/>
          <w:sz w:val="24"/>
          <w:szCs w:val="24"/>
          <w:lang w:eastAsia="en-US"/>
          <w14:ligatures w14:val="standardContextual"/>
        </w:rPr>
        <w:t xml:space="preserve">De conformidad con el artículo 95 de la ley 489 de 2008, </w:t>
      </w:r>
      <w:r w:rsidRPr="00885568">
        <w:rPr>
          <w:rFonts w:ascii="Garamond" w:eastAsia="Calibri" w:hAnsi="Garamond" w:cs="Calibri"/>
          <w:kern w:val="2"/>
          <w:sz w:val="24"/>
          <w:szCs w:val="24"/>
          <w:lang w:eastAsia="en-US"/>
          <w14:ligatures w14:val="standardContextual"/>
        </w:rPr>
        <w:t xml:space="preserve">las entidades públicas podrán asociarse con el fin de cooperar en el cumplimiento de funciones administrativas o de prestar conjuntamente servicios que se hallen a su cargo, </w:t>
      </w:r>
      <w:r w:rsidRPr="00885568">
        <w:rPr>
          <w:rFonts w:ascii="Garamond" w:eastAsia="Calibri" w:hAnsi="Garamond" w:cs="Calibri"/>
          <w:b/>
          <w:bCs/>
          <w:kern w:val="2"/>
          <w:sz w:val="24"/>
          <w:szCs w:val="24"/>
          <w:lang w:eastAsia="en-US"/>
          <w14:ligatures w14:val="standardContextual"/>
        </w:rPr>
        <w:t>mediante la celebración de convenios interadministrativos</w:t>
      </w:r>
      <w:r w:rsidRPr="00885568">
        <w:rPr>
          <w:rFonts w:ascii="Garamond" w:eastAsia="Calibri" w:hAnsi="Garamond" w:cs="Calibri"/>
          <w:kern w:val="2"/>
          <w:sz w:val="24"/>
          <w:szCs w:val="24"/>
          <w:lang w:eastAsia="en-US"/>
          <w14:ligatures w14:val="standardContextual"/>
        </w:rPr>
        <w:t xml:space="preserve"> o la conformación de personas jurídicas sin ánimo de lucro.</w:t>
      </w:r>
    </w:p>
    <w:p w14:paraId="3B637C21" w14:textId="77777777" w:rsidR="00505D27" w:rsidRPr="00885568" w:rsidRDefault="00505D27" w:rsidP="00505D27">
      <w:pPr>
        <w:spacing w:after="160" w:line="259" w:lineRule="auto"/>
        <w:contextualSpacing/>
        <w:jc w:val="both"/>
        <w:rPr>
          <w:rFonts w:ascii="Garamond" w:eastAsia="Calibri" w:hAnsi="Garamond" w:cs="Calibri"/>
          <w:kern w:val="2"/>
          <w:sz w:val="24"/>
          <w:szCs w:val="24"/>
          <w:lang w:eastAsia="en-US"/>
          <w14:ligatures w14:val="standardContextual"/>
        </w:rPr>
      </w:pPr>
    </w:p>
    <w:p w14:paraId="729DD188" w14:textId="77777777" w:rsidR="00505D27" w:rsidRPr="00885568" w:rsidRDefault="00505D27" w:rsidP="00505D27">
      <w:pPr>
        <w:spacing w:after="160" w:line="259" w:lineRule="auto"/>
        <w:contextualSpacing/>
        <w:jc w:val="both"/>
        <w:rPr>
          <w:rFonts w:ascii="Garamond" w:eastAsia="Calibri" w:hAnsi="Garamond" w:cs="Calibri"/>
          <w:kern w:val="2"/>
          <w:sz w:val="24"/>
          <w:szCs w:val="24"/>
          <w:lang w:eastAsia="en-US"/>
          <w14:ligatures w14:val="standardContextual"/>
        </w:rPr>
      </w:pPr>
      <w:r w:rsidRPr="00885568">
        <w:rPr>
          <w:rFonts w:ascii="Garamond" w:eastAsia="Calibri" w:hAnsi="Garamond" w:cs="Calibri"/>
          <w:kern w:val="2"/>
          <w:sz w:val="24"/>
          <w:szCs w:val="24"/>
          <w:lang w:eastAsia="en-US"/>
          <w14:ligatures w14:val="standardContextual"/>
        </w:rPr>
        <w:t>De conformidad con el Acuerdo Distrital 257 de 2006,</w:t>
      </w:r>
      <w:r w:rsidRPr="00885568">
        <w:rPr>
          <w:rFonts w:ascii="Garamond" w:eastAsia="Calibri" w:hAnsi="Garamond" w:cs="Calibri"/>
          <w:i/>
          <w:iCs/>
          <w:kern w:val="2"/>
          <w:sz w:val="24"/>
          <w:szCs w:val="24"/>
          <w:lang w:eastAsia="en-US"/>
          <w14:ligatures w14:val="standardContextual"/>
        </w:rPr>
        <w:t xml:space="preserve"> “por el cual</w:t>
      </w:r>
      <w:r w:rsidRPr="00885568">
        <w:rPr>
          <w:rFonts w:ascii="Garamond" w:eastAsia="Calibri" w:hAnsi="Garamond" w:cs="Calibri"/>
          <w:kern w:val="2"/>
          <w:sz w:val="24"/>
          <w:szCs w:val="24"/>
          <w:lang w:eastAsia="en-US"/>
          <w14:ligatures w14:val="standardContextual"/>
        </w:rPr>
        <w:t xml:space="preserve"> </w:t>
      </w:r>
      <w:r w:rsidRPr="00885568">
        <w:rPr>
          <w:rFonts w:ascii="Garamond" w:eastAsia="Calibri" w:hAnsi="Garamond" w:cs="Calibri"/>
          <w:i/>
          <w:iCs/>
          <w:kern w:val="2"/>
          <w:sz w:val="24"/>
          <w:szCs w:val="24"/>
          <w:lang w:eastAsia="en-US"/>
          <w14:ligatures w14:val="standardContextual"/>
        </w:rPr>
        <w:t>se dictan normas básicas sobre estructura, organización y funcionamiento de los organismos y de las entidades de Bogotá, Distrito Capital, y se dictan otras disposiciones”</w:t>
      </w:r>
      <w:r w:rsidRPr="00885568">
        <w:rPr>
          <w:rFonts w:ascii="Garamond" w:eastAsia="Calibri" w:hAnsi="Garamond" w:cs="Calibri"/>
          <w:kern w:val="2"/>
          <w:sz w:val="24"/>
          <w:szCs w:val="24"/>
          <w:lang w:eastAsia="en-US"/>
          <w14:ligatures w14:val="standardContextual"/>
        </w:rPr>
        <w:t xml:space="preserve"> establece como principios de la función administrativa distrital la efectividad y la coordinación, en los siguientes términos: </w:t>
      </w:r>
    </w:p>
    <w:p w14:paraId="2B7C3C8D" w14:textId="77777777" w:rsidR="00505D27" w:rsidRPr="00885568" w:rsidRDefault="00505D27" w:rsidP="00505D27">
      <w:pPr>
        <w:ind w:left="720"/>
        <w:contextualSpacing/>
        <w:jc w:val="both"/>
        <w:rPr>
          <w:rFonts w:ascii="Garamond" w:eastAsia="Calibri" w:hAnsi="Garamond" w:cs="Calibri"/>
          <w:kern w:val="2"/>
          <w:sz w:val="24"/>
          <w:szCs w:val="24"/>
          <w:lang w:eastAsia="en-US"/>
          <w14:ligatures w14:val="standardContextual"/>
        </w:rPr>
      </w:pPr>
    </w:p>
    <w:p w14:paraId="582BC7A9" w14:textId="77777777" w:rsidR="00505D27" w:rsidRPr="00885568" w:rsidRDefault="00505D27" w:rsidP="00505D27">
      <w:pPr>
        <w:contextualSpacing/>
        <w:jc w:val="both"/>
        <w:rPr>
          <w:rFonts w:ascii="Garamond" w:eastAsia="Calibri" w:hAnsi="Garamond" w:cs="Calibri"/>
          <w:i/>
          <w:iCs/>
          <w:kern w:val="2"/>
          <w:sz w:val="24"/>
          <w:szCs w:val="24"/>
          <w:lang w:eastAsia="en-US"/>
          <w14:ligatures w14:val="standardContextual"/>
        </w:rPr>
      </w:pPr>
      <w:r w:rsidRPr="00885568">
        <w:rPr>
          <w:rFonts w:ascii="Garamond" w:eastAsia="Calibri" w:hAnsi="Garamond" w:cs="Calibri"/>
          <w:i/>
          <w:iCs/>
          <w:kern w:val="2"/>
          <w:sz w:val="24"/>
          <w:szCs w:val="24"/>
          <w:lang w:eastAsia="en-US"/>
          <w14:ligatures w14:val="standardContextual"/>
        </w:rPr>
        <w:t>“</w:t>
      </w:r>
      <w:r w:rsidRPr="00885568">
        <w:rPr>
          <w:rFonts w:ascii="Garamond" w:eastAsia="Calibri" w:hAnsi="Garamond" w:cs="Calibri"/>
          <w:b/>
          <w:bCs/>
          <w:i/>
          <w:iCs/>
          <w:kern w:val="2"/>
          <w:sz w:val="24"/>
          <w:szCs w:val="24"/>
          <w:lang w:eastAsia="en-US"/>
          <w14:ligatures w14:val="standardContextual"/>
        </w:rPr>
        <w:t>Artículo 7.</w:t>
      </w:r>
      <w:r w:rsidRPr="00885568">
        <w:rPr>
          <w:rFonts w:ascii="Garamond" w:eastAsia="Calibri" w:hAnsi="Garamond" w:cs="Calibri"/>
          <w:i/>
          <w:iCs/>
          <w:kern w:val="2"/>
          <w:sz w:val="24"/>
          <w:szCs w:val="24"/>
          <w:lang w:eastAsia="en-US"/>
          <w14:ligatures w14:val="standardContextual"/>
        </w:rPr>
        <w:t xml:space="preserve"> Las autoridades administrativas del Distrito Capital serán responsables del cumplimiento de las políticas y los objetivos propuestos en los Planes de Desarrollo Económico, Social y de Obras Públicas distrital y de la respectiva localidad en el Plan de Ordenamiento Territorial y en la misión y objetivos de los organismos y entidades, procurando la mayor efectividad e impacto para garantizar el ejercicio efectivo, progresivo y sostenible de los derechos humanos, individuales y colectivos de sus habitantes</w:t>
      </w:r>
      <w:r w:rsidRPr="00885568">
        <w:rPr>
          <w:rFonts w:ascii="Garamond" w:eastAsia="Calibri" w:hAnsi="Garamond" w:cs="Calibri"/>
          <w:kern w:val="2"/>
          <w:sz w:val="24"/>
          <w:szCs w:val="24"/>
          <w:lang w:eastAsia="en-US"/>
          <w14:ligatures w14:val="standardContextual"/>
        </w:rPr>
        <w:t>”.</w:t>
      </w:r>
    </w:p>
    <w:p w14:paraId="22978174" w14:textId="77777777" w:rsidR="00505D27" w:rsidRPr="00885568" w:rsidRDefault="00505D27" w:rsidP="00505D27">
      <w:pPr>
        <w:ind w:left="720"/>
        <w:contextualSpacing/>
        <w:jc w:val="both"/>
        <w:rPr>
          <w:rFonts w:ascii="Garamond" w:eastAsia="Calibri" w:hAnsi="Garamond" w:cs="Calibri"/>
          <w:kern w:val="2"/>
          <w:sz w:val="24"/>
          <w:szCs w:val="24"/>
          <w:lang w:eastAsia="en-US"/>
          <w14:ligatures w14:val="standardContextual"/>
        </w:rPr>
      </w:pPr>
    </w:p>
    <w:p w14:paraId="294DF790" w14:textId="77777777" w:rsidR="00505D27" w:rsidRPr="00885568" w:rsidRDefault="00505D27" w:rsidP="00505D27">
      <w:pPr>
        <w:contextualSpacing/>
        <w:jc w:val="both"/>
        <w:rPr>
          <w:rFonts w:ascii="Garamond" w:eastAsia="Calibri" w:hAnsi="Garamond" w:cs="Calibri"/>
          <w:kern w:val="2"/>
          <w:sz w:val="24"/>
          <w:szCs w:val="24"/>
          <w:lang w:eastAsia="en-US"/>
          <w14:ligatures w14:val="standardContextual"/>
        </w:rPr>
      </w:pPr>
      <w:r w:rsidRPr="00885568">
        <w:rPr>
          <w:rFonts w:ascii="Garamond" w:eastAsia="Calibri" w:hAnsi="Garamond" w:cs="Calibri"/>
          <w:kern w:val="2"/>
          <w:sz w:val="24"/>
          <w:szCs w:val="24"/>
          <w:lang w:eastAsia="en-US"/>
          <w14:ligatures w14:val="standardContextual"/>
        </w:rPr>
        <w:t>“</w:t>
      </w:r>
      <w:r w:rsidRPr="00885568">
        <w:rPr>
          <w:rFonts w:ascii="Garamond" w:eastAsia="Calibri" w:hAnsi="Garamond" w:cs="Calibri"/>
          <w:b/>
          <w:bCs/>
          <w:kern w:val="2"/>
          <w:sz w:val="24"/>
          <w:szCs w:val="24"/>
          <w:lang w:eastAsia="en-US"/>
          <w14:ligatures w14:val="standardContextual"/>
        </w:rPr>
        <w:t>Artículo 10.</w:t>
      </w:r>
      <w:r w:rsidRPr="00885568">
        <w:rPr>
          <w:rFonts w:ascii="Garamond" w:eastAsia="Calibri" w:hAnsi="Garamond" w:cs="Calibri"/>
          <w:kern w:val="2"/>
          <w:sz w:val="24"/>
          <w:szCs w:val="24"/>
          <w:lang w:eastAsia="en-US"/>
          <w14:ligatures w14:val="standardContextual"/>
        </w:rPr>
        <w:t xml:space="preserve"> </w:t>
      </w:r>
      <w:r w:rsidRPr="00885568">
        <w:rPr>
          <w:rFonts w:ascii="Garamond" w:eastAsia="Calibri" w:hAnsi="Garamond" w:cs="Calibri"/>
          <w:i/>
          <w:iCs/>
          <w:kern w:val="2"/>
          <w:sz w:val="24"/>
          <w:szCs w:val="24"/>
          <w:lang w:eastAsia="en-US"/>
          <w14:ligatures w14:val="standardContextual"/>
        </w:rPr>
        <w:t>La administración distrital actuará a través de su organización administrativa de manera armónica para la realización de sus fines y para hacer eficiente e integral la gestión pública distrital mediante la articulación de programas, proyectos y acciones administrativas a nivel interinstitucional, sectorial, intersectorial y transectorial</w:t>
      </w:r>
      <w:r w:rsidRPr="00885568">
        <w:rPr>
          <w:rFonts w:ascii="Garamond" w:eastAsia="Calibri" w:hAnsi="Garamond" w:cs="Calibri"/>
          <w:kern w:val="2"/>
          <w:sz w:val="24"/>
          <w:szCs w:val="24"/>
          <w:lang w:eastAsia="en-US"/>
          <w14:ligatures w14:val="standardContextual"/>
        </w:rPr>
        <w:t>”.</w:t>
      </w:r>
    </w:p>
    <w:p w14:paraId="2F1F2089" w14:textId="77777777" w:rsidR="00505D27" w:rsidRPr="00885568" w:rsidRDefault="00505D27" w:rsidP="00505D27">
      <w:pPr>
        <w:contextualSpacing/>
        <w:jc w:val="both"/>
        <w:rPr>
          <w:rFonts w:ascii="Garamond" w:eastAsia="Calibri" w:hAnsi="Garamond" w:cs="Calibri"/>
          <w:kern w:val="2"/>
          <w:sz w:val="24"/>
          <w:szCs w:val="24"/>
          <w:lang w:eastAsia="en-US"/>
          <w14:ligatures w14:val="standardContextual"/>
        </w:rPr>
      </w:pPr>
    </w:p>
    <w:p w14:paraId="582FFDB6" w14:textId="77777777" w:rsidR="00505D27" w:rsidRPr="00885568" w:rsidRDefault="00505D27" w:rsidP="00505D27">
      <w:pPr>
        <w:spacing w:after="160" w:line="259" w:lineRule="auto"/>
        <w:contextualSpacing/>
        <w:jc w:val="both"/>
        <w:rPr>
          <w:rFonts w:ascii="Garamond" w:eastAsia="Calibri" w:hAnsi="Garamond" w:cs="Calibri"/>
          <w:i/>
          <w:iCs/>
          <w:kern w:val="2"/>
          <w:sz w:val="24"/>
          <w:szCs w:val="24"/>
          <w:lang w:eastAsia="en-US"/>
          <w14:ligatures w14:val="standardContextual"/>
        </w:rPr>
      </w:pPr>
      <w:r w:rsidRPr="00885568">
        <w:rPr>
          <w:rFonts w:ascii="Garamond" w:eastAsia="Calibri" w:hAnsi="Garamond" w:cs="Calibri"/>
          <w:b/>
          <w:bCs/>
          <w:kern w:val="2"/>
          <w:sz w:val="24"/>
          <w:szCs w:val="24"/>
          <w:lang w:eastAsia="en-US"/>
          <w14:ligatures w14:val="standardContextual"/>
        </w:rPr>
        <w:lastRenderedPageBreak/>
        <w:t>Decreto Ley 1421 del 21 de julio de 1993</w:t>
      </w:r>
      <w:r w:rsidRPr="00885568">
        <w:rPr>
          <w:rFonts w:ascii="Garamond" w:eastAsia="Calibri" w:hAnsi="Garamond" w:cs="Calibri"/>
          <w:kern w:val="2"/>
          <w:sz w:val="24"/>
          <w:szCs w:val="24"/>
          <w:lang w:eastAsia="en-US"/>
          <w14:ligatures w14:val="standardContextual"/>
        </w:rPr>
        <w:t xml:space="preserve"> establece en su artículo 149 que el “</w:t>
      </w:r>
      <w:r w:rsidRPr="00885568">
        <w:rPr>
          <w:rFonts w:ascii="Garamond" w:eastAsia="Calibri" w:hAnsi="Garamond" w:cs="Calibri"/>
          <w:i/>
          <w:iCs/>
          <w:kern w:val="2"/>
          <w:sz w:val="24"/>
          <w:szCs w:val="24"/>
          <w:lang w:eastAsia="en-US"/>
          <w14:ligatures w14:val="standardContextual"/>
        </w:rPr>
        <w:t>Distrito, sus localidades y las entidades descentralizadas podrán celebrar contratos, convenios y acuerdos previstos en el derecho público y en el derecho privado que resulten necesarios para el cumplimiento de sus funciones, la prestación de los servicios y la construcción de las obras a su cargo. En tales contratos, convenios o acuerdos se deberán pactar las cláusulas o estipulaciones que las partes consideren convenientes y necesarias para asegurar su ejecución, siempre que no sean contrarias a la Constitución, la Ley y el orden público”</w:t>
      </w:r>
    </w:p>
    <w:p w14:paraId="44251612" w14:textId="77777777" w:rsidR="00505D27" w:rsidRPr="00885568" w:rsidRDefault="00505D27" w:rsidP="00505D27">
      <w:pPr>
        <w:spacing w:after="160" w:line="259" w:lineRule="auto"/>
        <w:contextualSpacing/>
        <w:jc w:val="both"/>
        <w:rPr>
          <w:rFonts w:ascii="Garamond" w:eastAsia="Calibri" w:hAnsi="Garamond" w:cs="Calibri"/>
          <w:i/>
          <w:iCs/>
          <w:kern w:val="2"/>
          <w:sz w:val="24"/>
          <w:szCs w:val="24"/>
          <w:lang w:eastAsia="en-US"/>
          <w14:ligatures w14:val="standardContextual"/>
        </w:rPr>
      </w:pPr>
    </w:p>
    <w:p w14:paraId="5DCC7A0B" w14:textId="77777777" w:rsidR="00505D27" w:rsidRPr="00885568" w:rsidRDefault="00505D27" w:rsidP="00505D27">
      <w:pPr>
        <w:spacing w:after="160" w:line="259" w:lineRule="auto"/>
        <w:contextualSpacing/>
        <w:jc w:val="both"/>
        <w:rPr>
          <w:rFonts w:ascii="Garamond" w:eastAsia="Calibri" w:hAnsi="Garamond" w:cs="Calibri"/>
          <w:i/>
          <w:iCs/>
          <w:kern w:val="2"/>
          <w:sz w:val="24"/>
          <w:szCs w:val="24"/>
          <w:lang w:eastAsia="en-US"/>
          <w14:ligatures w14:val="standardContextual"/>
        </w:rPr>
      </w:pPr>
      <w:r w:rsidRPr="00885568">
        <w:rPr>
          <w:rFonts w:ascii="Garamond" w:eastAsia="Calibri" w:hAnsi="Garamond" w:cs="Calibri"/>
          <w:kern w:val="2"/>
          <w:sz w:val="24"/>
          <w:szCs w:val="24"/>
          <w:lang w:eastAsia="en-US"/>
          <w14:ligatures w14:val="standardContextual"/>
        </w:rPr>
        <w:t>El Decreto Distrital 768 de 2019, por medio del cual se reglamenta el Acuerdo 740 de 2019, en su Artículo 6 denominado “</w:t>
      </w:r>
      <w:r w:rsidRPr="00885568">
        <w:rPr>
          <w:rFonts w:ascii="Garamond" w:eastAsia="Calibri" w:hAnsi="Garamond" w:cs="Calibri"/>
          <w:i/>
          <w:iCs/>
          <w:kern w:val="2"/>
          <w:sz w:val="24"/>
          <w:szCs w:val="24"/>
          <w:lang w:eastAsia="en-US"/>
          <w14:ligatures w14:val="standardContextual"/>
        </w:rPr>
        <w:t>Contratación de recursos” establece que: “Con el propósito de atender los principios de transparencia, economía y responsabilidad, orientados a la adecuada planeación, inversión y ejecución de los recursos de los Fondos de Desarrollo Local, la Alcaldía Local adelantará la gestión contractual de conformidad con los procedimientos establecidos y la normatividad vigente.”</w:t>
      </w:r>
    </w:p>
    <w:p w14:paraId="0872D91B" w14:textId="77777777" w:rsidR="00505D27" w:rsidRPr="00885568" w:rsidRDefault="00505D27" w:rsidP="00505D27">
      <w:pPr>
        <w:ind w:left="720"/>
        <w:contextualSpacing/>
        <w:jc w:val="both"/>
        <w:rPr>
          <w:rFonts w:ascii="Garamond" w:eastAsia="Calibri" w:hAnsi="Garamond" w:cs="Calibri"/>
          <w:i/>
          <w:iCs/>
          <w:kern w:val="2"/>
          <w:sz w:val="24"/>
          <w:szCs w:val="24"/>
          <w:lang w:eastAsia="en-US"/>
          <w14:ligatures w14:val="standardContextual"/>
        </w:rPr>
      </w:pPr>
    </w:p>
    <w:p w14:paraId="38FFA3DF" w14:textId="77777777" w:rsidR="00505D27" w:rsidRPr="00885568" w:rsidRDefault="00505D27" w:rsidP="00505D27">
      <w:pPr>
        <w:spacing w:after="160" w:line="259" w:lineRule="auto"/>
        <w:contextualSpacing/>
        <w:jc w:val="both"/>
        <w:rPr>
          <w:rFonts w:ascii="Garamond" w:eastAsia="Calibri" w:hAnsi="Garamond" w:cs="Calibri"/>
          <w:i/>
          <w:iCs/>
          <w:kern w:val="2"/>
          <w:sz w:val="24"/>
          <w:szCs w:val="24"/>
          <w:lang w:eastAsia="en-US"/>
          <w14:ligatures w14:val="standardContextual"/>
        </w:rPr>
      </w:pPr>
      <w:r w:rsidRPr="00885568">
        <w:rPr>
          <w:rFonts w:ascii="Garamond" w:eastAsia="Calibri" w:hAnsi="Garamond" w:cs="Calibri"/>
          <w:kern w:val="2"/>
          <w:sz w:val="24"/>
          <w:szCs w:val="24"/>
          <w:lang w:eastAsia="en-US"/>
          <w14:ligatures w14:val="standardContextual"/>
        </w:rPr>
        <w:t xml:space="preserve">El artículo 1 del Decreto Distrital 374 del 21 de junio de 2019 dispone </w:t>
      </w:r>
      <w:r w:rsidRPr="00885568">
        <w:rPr>
          <w:rFonts w:ascii="Garamond" w:eastAsia="Calibri" w:hAnsi="Garamond" w:cs="Calibri"/>
          <w:i/>
          <w:iCs/>
          <w:kern w:val="2"/>
          <w:sz w:val="24"/>
          <w:szCs w:val="24"/>
          <w:lang w:eastAsia="en-US"/>
          <w14:ligatures w14:val="standardContextual"/>
        </w:rPr>
        <w:t>“delegar en los alcaldes locales la facultad para contratar, ordenar los gastos y pagos con cargo al presupuesto de los Fondos de Desarrollo Local, de conformidad con las disposiciones que regulan las inversiones y gastos con cargo a tales fondos”.</w:t>
      </w:r>
    </w:p>
    <w:p w14:paraId="423E6B4B" w14:textId="77777777" w:rsidR="00505D27" w:rsidRPr="00885568" w:rsidRDefault="00505D27" w:rsidP="00505D27">
      <w:pPr>
        <w:spacing w:after="160" w:line="259" w:lineRule="auto"/>
        <w:contextualSpacing/>
        <w:jc w:val="both"/>
        <w:rPr>
          <w:rFonts w:ascii="Garamond" w:eastAsia="Calibri" w:hAnsi="Garamond" w:cs="Calibri"/>
          <w:i/>
          <w:iCs/>
          <w:kern w:val="2"/>
          <w:sz w:val="24"/>
          <w:szCs w:val="24"/>
          <w:lang w:eastAsia="en-US"/>
          <w14:ligatures w14:val="standardContextual"/>
        </w:rPr>
      </w:pPr>
    </w:p>
    <w:p w14:paraId="6FA6E872" w14:textId="77777777" w:rsidR="00505D27" w:rsidRPr="00885568" w:rsidRDefault="00505D27" w:rsidP="00505D27">
      <w:pPr>
        <w:spacing w:after="160" w:line="259" w:lineRule="auto"/>
        <w:contextualSpacing/>
        <w:jc w:val="both"/>
        <w:rPr>
          <w:rFonts w:ascii="Garamond" w:eastAsia="Calibri" w:hAnsi="Garamond" w:cs="Calibri"/>
          <w:kern w:val="2"/>
          <w:sz w:val="24"/>
          <w:szCs w:val="24"/>
          <w:lang w:eastAsia="en-US"/>
          <w14:ligatures w14:val="standardContextual"/>
        </w:rPr>
      </w:pPr>
      <w:r w:rsidRPr="00885568">
        <w:rPr>
          <w:rFonts w:ascii="Garamond" w:eastAsia="Calibri" w:hAnsi="Garamond" w:cs="Calibri"/>
          <w:kern w:val="2"/>
          <w:sz w:val="24"/>
          <w:szCs w:val="24"/>
          <w:lang w:eastAsia="en-US"/>
          <w14:ligatures w14:val="standardContextual"/>
        </w:rPr>
        <w:t>Con relación a los convenios interadministrativos, a nivel distrital se expidió la Directiva No. 023 de 2011 de la Alcaldía Mayor de Bogotá, que reseña el marco normativo aplicable a los convenios de asociación, de apoyo e interadministrativos. En esta directiva se indica que de las entidades a las que se refiere el artículo 2 de la ley 80 de 1993 y los organismos o dependencias del Estado a los que la ley otorgue capacidad para celebrar convenios podrán ser parte de los contratos o convenios interadministrativos. En ese orden de ideas, la Directiva señala que “Los órganos o entidades que conforman el presupuesto anual del Distrito Capital tendrán la capacidad de contratar y comprometer a nombre de la persona jurídica de la que hacen parte y ordenar el gasto”. En consecuencia, los contratos o convenios celebrados entre las entidades que conforman el presupuesto anual del Distrito Capital serán interadministrativos.</w:t>
      </w:r>
    </w:p>
    <w:p w14:paraId="71305333" w14:textId="77777777" w:rsidR="00505D27" w:rsidRPr="00885568" w:rsidRDefault="00505D27" w:rsidP="00505D27">
      <w:pPr>
        <w:ind w:left="567" w:hanging="567"/>
        <w:jc w:val="both"/>
        <w:rPr>
          <w:rFonts w:ascii="Garamond" w:eastAsia="Calibri" w:hAnsi="Garamond" w:cs="Calibri"/>
          <w:i/>
          <w:iCs/>
          <w:kern w:val="2"/>
          <w:sz w:val="24"/>
          <w:szCs w:val="24"/>
          <w:lang w:eastAsia="en-US"/>
          <w14:ligatures w14:val="standardContextual"/>
        </w:rPr>
      </w:pPr>
    </w:p>
    <w:p w14:paraId="65F4BA0B" w14:textId="77777777" w:rsidR="00505D27" w:rsidRPr="00885568" w:rsidRDefault="00505D27" w:rsidP="00505D27">
      <w:pPr>
        <w:jc w:val="both"/>
        <w:rPr>
          <w:rFonts w:ascii="Garamond" w:eastAsia="Calibri" w:hAnsi="Garamond" w:cs="Calibri"/>
          <w:kern w:val="2"/>
          <w:sz w:val="24"/>
          <w:szCs w:val="24"/>
          <w:lang w:eastAsia="en-US"/>
          <w14:ligatures w14:val="standardContextual"/>
        </w:rPr>
      </w:pPr>
      <w:r w:rsidRPr="00885568">
        <w:rPr>
          <w:rFonts w:ascii="Garamond" w:eastAsia="Calibri" w:hAnsi="Garamond" w:cs="Calibri"/>
          <w:kern w:val="2"/>
          <w:sz w:val="24"/>
          <w:szCs w:val="24"/>
          <w:lang w:eastAsia="en-US"/>
          <w14:ligatures w14:val="standardContextual"/>
        </w:rPr>
        <w:t xml:space="preserve">Teniendo en cuenta que el Fondo de Desarrollo Local debe cumplir con las metas planteadas en el Plan de Desarrollo y que la Agencia Atenea tiene dentro de sus funciones en el Decreto 273 de 2020  la de </w:t>
      </w:r>
      <w:r w:rsidRPr="00885568">
        <w:rPr>
          <w:rFonts w:ascii="Garamond" w:eastAsia="Calibri" w:hAnsi="Garamond" w:cs="Calibri"/>
          <w:kern w:val="2"/>
          <w:sz w:val="24"/>
          <w:szCs w:val="24"/>
          <w:lang w:val="es-ES" w:eastAsia="en-US"/>
          <w14:ligatures w14:val="standardContextual"/>
        </w:rPr>
        <w:t xml:space="preserve">suscribir convenios, asociarse o conformar esquemas asociativos con entidades públicas de cualquier nivel de gobierno o con personas de derecho privado, y efectuar las transferencias o aportes correspondientes, con sujeción a lo dispuesto en la Ley 489 de 1998, el Acuerdo 257 de 2006 y las demás normas legales que modifiquen, adicionen o regulen la materia, es legalmente posible suscribir un Convenio interadministrativo que les permita a las partes aunar </w:t>
      </w:r>
      <w:r w:rsidRPr="00885568">
        <w:rPr>
          <w:rFonts w:ascii="Garamond" w:eastAsia="Calibri" w:hAnsi="Garamond" w:cs="Calibri"/>
          <w:kern w:val="2"/>
          <w:sz w:val="24"/>
          <w:szCs w:val="24"/>
          <w:lang w:eastAsia="en-US"/>
          <w14:ligatures w14:val="standardContextual"/>
        </w:rPr>
        <w:t>recursos técnicos, administrativos, legales y financieros que les permita ejecutar el programa Jóvenes a la E, anteriormente Jóvenes a la U.</w:t>
      </w:r>
    </w:p>
    <w:p w14:paraId="78923533" w14:textId="77777777" w:rsidR="00505D27" w:rsidRPr="00885568" w:rsidRDefault="00505D27" w:rsidP="00505D27">
      <w:pPr>
        <w:ind w:left="720"/>
        <w:contextualSpacing/>
        <w:jc w:val="both"/>
        <w:rPr>
          <w:rFonts w:ascii="Garamond" w:eastAsia="Calibri" w:hAnsi="Garamond" w:cs="Calibri"/>
          <w:kern w:val="2"/>
          <w:sz w:val="24"/>
          <w:szCs w:val="24"/>
          <w:lang w:eastAsia="en-US"/>
          <w14:ligatures w14:val="standardContextual"/>
        </w:rPr>
      </w:pPr>
    </w:p>
    <w:p w14:paraId="1C0FD360" w14:textId="77777777" w:rsidR="00505D27" w:rsidRPr="00885568" w:rsidRDefault="00505D27" w:rsidP="00505D27">
      <w:pPr>
        <w:jc w:val="both"/>
        <w:rPr>
          <w:rFonts w:ascii="Garamond" w:eastAsia="Calibri" w:hAnsi="Garamond" w:cs="Calibri"/>
          <w:kern w:val="2"/>
          <w:sz w:val="24"/>
          <w:szCs w:val="24"/>
          <w:lang w:eastAsia="en-US"/>
          <w14:ligatures w14:val="standardContextual"/>
        </w:rPr>
      </w:pPr>
      <w:r w:rsidRPr="00885568">
        <w:rPr>
          <w:rFonts w:ascii="Garamond" w:eastAsia="Calibri" w:hAnsi="Garamond" w:cs="Calibri"/>
          <w:kern w:val="2"/>
          <w:sz w:val="24"/>
          <w:szCs w:val="24"/>
          <w:lang w:eastAsia="en-US"/>
          <w14:ligatures w14:val="standardContextual"/>
        </w:rPr>
        <w:t>Aunado a lo anterior las Entidades públicas del orden distrital tienen dentro de su misión y propósito dar cumplimiento a los lineamientos constitucionales y legales en materia de acceso y permanencia en la educación superior.</w:t>
      </w:r>
    </w:p>
    <w:p w14:paraId="7185A906" w14:textId="5C13ACBA" w:rsidR="003436D3" w:rsidRPr="00885568" w:rsidRDefault="003436D3" w:rsidP="003436D3">
      <w:pPr>
        <w:jc w:val="both"/>
        <w:rPr>
          <w:rFonts w:ascii="Garamond" w:hAnsi="Garamond"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775163" w:rsidRPr="00885568" w14:paraId="42934E51" w14:textId="77777777" w:rsidTr="00DC3046">
        <w:trPr>
          <w:jc w:val="center"/>
        </w:trPr>
        <w:tc>
          <w:tcPr>
            <w:tcW w:w="9450" w:type="dxa"/>
            <w:shd w:val="clear" w:color="auto" w:fill="E0E0E0"/>
          </w:tcPr>
          <w:p w14:paraId="27855ED1" w14:textId="287E540A" w:rsidR="00F377E3" w:rsidRPr="00885568" w:rsidRDefault="000A61C0" w:rsidP="0055486F">
            <w:pPr>
              <w:pStyle w:val="Prrafodelista"/>
              <w:numPr>
                <w:ilvl w:val="0"/>
                <w:numId w:val="8"/>
              </w:numPr>
              <w:jc w:val="both"/>
              <w:rPr>
                <w:rFonts w:ascii="Garamond" w:hAnsi="Garamond" w:cs="Arial"/>
                <w:b/>
                <w:sz w:val="24"/>
                <w:szCs w:val="24"/>
              </w:rPr>
            </w:pPr>
            <w:bookmarkStart w:id="13" w:name="_Hlk71629449"/>
            <w:r w:rsidRPr="00885568">
              <w:rPr>
                <w:rFonts w:ascii="Garamond" w:hAnsi="Garamond" w:cs="Arial"/>
                <w:b/>
                <w:sz w:val="24"/>
                <w:szCs w:val="24"/>
              </w:rPr>
              <w:t>PRESUPUESTO</w:t>
            </w:r>
            <w:r w:rsidR="001E0AB0" w:rsidRPr="00885568">
              <w:rPr>
                <w:rFonts w:ascii="Garamond" w:hAnsi="Garamond" w:cs="Arial"/>
                <w:b/>
                <w:sz w:val="24"/>
                <w:szCs w:val="24"/>
              </w:rPr>
              <w:t xml:space="preserve"> OFICIAL</w:t>
            </w:r>
            <w:r w:rsidRPr="00885568">
              <w:rPr>
                <w:rFonts w:ascii="Garamond" w:hAnsi="Garamond" w:cs="Arial"/>
                <w:b/>
                <w:sz w:val="24"/>
                <w:szCs w:val="24"/>
              </w:rPr>
              <w:t>, VARIABLES UTILIZADAS Y RUBROS QUE LO COMPONEN.</w:t>
            </w:r>
            <w:r w:rsidR="00A71C37" w:rsidRPr="00885568">
              <w:rPr>
                <w:rFonts w:ascii="Garamond" w:hAnsi="Garamond" w:cs="Arial"/>
                <w:b/>
                <w:sz w:val="24"/>
                <w:szCs w:val="24"/>
              </w:rPr>
              <w:t xml:space="preserve"> </w:t>
            </w:r>
          </w:p>
        </w:tc>
      </w:tr>
      <w:bookmarkEnd w:id="13"/>
    </w:tbl>
    <w:p w14:paraId="283063D3" w14:textId="77777777" w:rsidR="00775163" w:rsidRPr="00885568" w:rsidRDefault="00775163" w:rsidP="007D562A">
      <w:pPr>
        <w:rPr>
          <w:rFonts w:ascii="Garamond" w:hAnsi="Garamond" w:cs="Arial"/>
          <w:sz w:val="24"/>
          <w:szCs w:val="24"/>
          <w:lang w:val="es-MX"/>
        </w:rPr>
      </w:pPr>
    </w:p>
    <w:p w14:paraId="3345ECB6" w14:textId="0CA26006" w:rsidR="00F95FB9" w:rsidRPr="00885568" w:rsidRDefault="00147F52" w:rsidP="00724D59">
      <w:pPr>
        <w:tabs>
          <w:tab w:val="left" w:pos="6743"/>
        </w:tabs>
        <w:jc w:val="both"/>
        <w:rPr>
          <w:rFonts w:ascii="Garamond" w:eastAsia="Lexend Deca" w:hAnsi="Garamond" w:cs="Lexend Deca"/>
          <w:color w:val="000000"/>
          <w:sz w:val="22"/>
          <w:szCs w:val="22"/>
          <w:lang w:val="es-MX"/>
        </w:rPr>
      </w:pPr>
      <w:commentRangeStart w:id="14"/>
      <w:r w:rsidRPr="00885568">
        <w:rPr>
          <w:rFonts w:ascii="Garamond" w:hAnsi="Garamond" w:cs="Arial"/>
          <w:sz w:val="24"/>
          <w:szCs w:val="24"/>
          <w:lang w:val="es-MX"/>
        </w:rPr>
        <w:t xml:space="preserve">El presupuesto oficial se estima en la suma </w:t>
      </w:r>
      <w:r w:rsidR="005326DE" w:rsidRPr="00885568">
        <w:rPr>
          <w:rFonts w:ascii="Garamond" w:hAnsi="Garamond" w:cs="Arial"/>
          <w:sz w:val="24"/>
          <w:szCs w:val="24"/>
          <w:lang w:val="es-MX"/>
        </w:rPr>
        <w:t xml:space="preserve">de </w:t>
      </w:r>
      <w:r w:rsidR="001F2736" w:rsidRPr="00885568">
        <w:rPr>
          <w:rFonts w:ascii="Garamond" w:hAnsi="Garamond" w:cs="Arial"/>
          <w:sz w:val="24"/>
          <w:szCs w:val="24"/>
          <w:lang w:val="es-MX"/>
        </w:rPr>
        <w:t>($</w:t>
      </w:r>
      <w:r w:rsidRPr="00885568">
        <w:rPr>
          <w:rFonts w:ascii="Garamond" w:hAnsi="Garamond" w:cs="Arial"/>
          <w:sz w:val="24"/>
          <w:szCs w:val="24"/>
          <w:lang w:val="es-MX"/>
        </w:rPr>
        <w:t>)</w:t>
      </w:r>
      <w:r w:rsidR="00AD22F7">
        <w:rPr>
          <w:rFonts w:ascii="Garamond" w:hAnsi="Garamond" w:cs="Arial"/>
          <w:sz w:val="24"/>
          <w:szCs w:val="24"/>
          <w:lang w:val="es-MX"/>
        </w:rPr>
        <w:t xml:space="preserve">3.560.000.000 </w:t>
      </w:r>
      <w:r w:rsidR="00AD22F7" w:rsidRPr="00AD22F7">
        <w:rPr>
          <w:rFonts w:ascii="Garamond" w:hAnsi="Garamond" w:cs="Arial"/>
          <w:sz w:val="24"/>
          <w:szCs w:val="24"/>
        </w:rPr>
        <w:t xml:space="preserve">TRES </w:t>
      </w:r>
      <w:r w:rsidR="00AD22F7">
        <w:rPr>
          <w:rFonts w:ascii="Garamond" w:hAnsi="Garamond" w:cs="Arial"/>
          <w:sz w:val="24"/>
          <w:szCs w:val="24"/>
        </w:rPr>
        <w:t xml:space="preserve">MIL QUINIENTOS SESENTA MILLONES DE PESOS </w:t>
      </w:r>
      <w:r w:rsidR="00AD22F7" w:rsidRPr="00885568">
        <w:rPr>
          <w:rFonts w:ascii="Garamond" w:hAnsi="Garamond" w:cs="Arial"/>
          <w:sz w:val="24"/>
          <w:szCs w:val="24"/>
          <w:lang w:val="es-MX"/>
        </w:rPr>
        <w:t>M/CTE</w:t>
      </w:r>
      <w:r w:rsidR="00B87E41" w:rsidRPr="00885568">
        <w:rPr>
          <w:rFonts w:ascii="Garamond" w:hAnsi="Garamond" w:cs="Arial"/>
          <w:sz w:val="24"/>
          <w:szCs w:val="24"/>
          <w:lang w:val="es-MX"/>
        </w:rPr>
        <w:t xml:space="preserve"> de la vigencia fiscal «2025</w:t>
      </w:r>
      <w:r w:rsidRPr="00885568">
        <w:rPr>
          <w:rFonts w:ascii="Garamond" w:hAnsi="Garamond" w:cs="Arial"/>
          <w:sz w:val="24"/>
          <w:szCs w:val="24"/>
          <w:lang w:val="es-MX"/>
        </w:rPr>
        <w:t>», con cargo al proyecto «</w:t>
      </w:r>
      <w:r w:rsidR="00AD22F7">
        <w:rPr>
          <w:rFonts w:ascii="Garamond" w:hAnsi="Garamond" w:cs="Arial"/>
          <w:sz w:val="24"/>
          <w:szCs w:val="24"/>
          <w:lang w:val="es-MX"/>
        </w:rPr>
        <w:t>2749</w:t>
      </w:r>
      <w:r w:rsidR="00B632B9" w:rsidRPr="00885568">
        <w:rPr>
          <w:rFonts w:ascii="Garamond" w:hAnsi="Garamond" w:cs="Arial"/>
          <w:sz w:val="24"/>
          <w:szCs w:val="24"/>
          <w:lang w:val="es-MX"/>
        </w:rPr>
        <w:t>»</w:t>
      </w:r>
      <w:r w:rsidRPr="00885568">
        <w:rPr>
          <w:rFonts w:ascii="Garamond" w:hAnsi="Garamond" w:cs="Arial"/>
          <w:sz w:val="24"/>
          <w:szCs w:val="24"/>
          <w:lang w:val="es-MX"/>
        </w:rPr>
        <w:t xml:space="preserve"> </w:t>
      </w:r>
      <w:r w:rsidR="00B47795" w:rsidRPr="00885568">
        <w:rPr>
          <w:rFonts w:ascii="Garamond" w:hAnsi="Garamond" w:cs="Arial"/>
          <w:sz w:val="24"/>
          <w:szCs w:val="24"/>
          <w:lang w:val="es-MX"/>
        </w:rPr>
        <w:t xml:space="preserve">con rubro </w:t>
      </w:r>
      <w:r w:rsidR="00AD22F7" w:rsidRPr="00885568">
        <w:rPr>
          <w:rFonts w:ascii="Garamond" w:hAnsi="Garamond" w:cs="Arial"/>
          <w:sz w:val="24"/>
          <w:szCs w:val="24"/>
          <w:lang w:val="es-MX"/>
        </w:rPr>
        <w:t xml:space="preserve">presupuestal </w:t>
      </w:r>
      <w:r w:rsidR="00AD22F7">
        <w:rPr>
          <w:rFonts w:ascii="Garamond" w:eastAsia="Lexend Deca" w:hAnsi="Garamond" w:cs="Lexend Deca"/>
          <w:color w:val="000000"/>
          <w:sz w:val="22"/>
          <w:szCs w:val="22"/>
          <w:lang w:val="es-MX"/>
        </w:rPr>
        <w:t>“Mártires confía y le apuesta a su potencial</w:t>
      </w:r>
      <w:r w:rsidR="00B47795" w:rsidRPr="00885568">
        <w:rPr>
          <w:rFonts w:ascii="Garamond" w:eastAsia="Lexend Deca" w:hAnsi="Garamond" w:cs="Lexend Deca"/>
          <w:color w:val="000000"/>
          <w:sz w:val="22"/>
          <w:szCs w:val="22"/>
          <w:lang w:val="es-MX"/>
        </w:rPr>
        <w:t>”.</w:t>
      </w:r>
      <w:commentRangeEnd w:id="14"/>
      <w:r w:rsidR="00EE0DE7">
        <w:rPr>
          <w:rStyle w:val="Refdecomentario"/>
        </w:rPr>
        <w:commentReference w:id="14"/>
      </w:r>
    </w:p>
    <w:p w14:paraId="5F1A4888" w14:textId="7E59EBD8" w:rsidR="004B1581" w:rsidRPr="00885568" w:rsidRDefault="004B1581" w:rsidP="00724D59">
      <w:pPr>
        <w:tabs>
          <w:tab w:val="left" w:pos="6743"/>
        </w:tabs>
        <w:jc w:val="both"/>
        <w:rPr>
          <w:rFonts w:ascii="Garamond" w:hAnsi="Garamond" w:cs="Arial"/>
          <w:sz w:val="24"/>
          <w:szCs w:val="24"/>
          <w:lang w:val="es-MX"/>
        </w:rPr>
      </w:pPr>
    </w:p>
    <w:p w14:paraId="47264EC0" w14:textId="417829E7" w:rsidR="00DB0197" w:rsidRPr="00885568" w:rsidRDefault="00992A54" w:rsidP="00F2652E">
      <w:pPr>
        <w:jc w:val="both"/>
        <w:rPr>
          <w:rFonts w:ascii="Garamond" w:hAnsi="Garamond" w:cs="Arial"/>
          <w:b/>
          <w:bCs/>
          <w:sz w:val="24"/>
          <w:szCs w:val="24"/>
          <w:lang w:val="es-MX"/>
        </w:rPr>
      </w:pPr>
      <w:r w:rsidRPr="00885568">
        <w:rPr>
          <w:rFonts w:ascii="Garamond" w:hAnsi="Garamond" w:cs="Arial"/>
          <w:b/>
          <w:bCs/>
          <w:sz w:val="24"/>
          <w:szCs w:val="24"/>
          <w:lang w:val="es-MX"/>
        </w:rPr>
        <w:t>4.1. METAS Y PRESUPUESTO</w:t>
      </w:r>
    </w:p>
    <w:p w14:paraId="0CA39A5F" w14:textId="0404CC82" w:rsidR="00DB0197" w:rsidRPr="00885568" w:rsidRDefault="00DB0197" w:rsidP="00F2652E">
      <w:pPr>
        <w:jc w:val="both"/>
        <w:rPr>
          <w:rFonts w:ascii="Garamond" w:eastAsiaTheme="minorHAnsi" w:hAnsi="Garamond" w:cs="Arial"/>
          <w:b/>
          <w:bCs/>
          <w:kern w:val="2"/>
          <w:sz w:val="24"/>
          <w:szCs w:val="24"/>
          <w:lang w:val="es-MX" w:eastAsia="en-US"/>
          <w14:ligatures w14:val="standardContextual"/>
        </w:rPr>
      </w:pPr>
      <w:r w:rsidRPr="00885568">
        <w:rPr>
          <w:rFonts w:ascii="Garamond" w:hAnsi="Garamond" w:cs="Arial"/>
          <w:b/>
          <w:bCs/>
          <w:sz w:val="24"/>
          <w:szCs w:val="24"/>
          <w:lang w:val="es-MX"/>
        </w:rPr>
        <w:t xml:space="preserve"> </w:t>
      </w:r>
    </w:p>
    <w:p w14:paraId="2DC527E5" w14:textId="0939018D" w:rsidR="002F30AF" w:rsidRDefault="00B632B9" w:rsidP="0037019E">
      <w:pPr>
        <w:jc w:val="both"/>
        <w:rPr>
          <w:rFonts w:ascii="Garamond" w:hAnsi="Garamond" w:cstheme="minorHAnsi"/>
          <w:sz w:val="24"/>
          <w:szCs w:val="24"/>
        </w:rPr>
      </w:pPr>
      <w:r w:rsidRPr="00885568">
        <w:rPr>
          <w:rFonts w:ascii="Garamond" w:hAnsi="Garamond" w:cstheme="minorHAnsi"/>
          <w:sz w:val="24"/>
          <w:szCs w:val="24"/>
        </w:rPr>
        <w:t xml:space="preserve">Recursos como aporte por el Fondo de Desarrollo Local, desagregados de la siguiente forma: </w:t>
      </w:r>
    </w:p>
    <w:p w14:paraId="6AFD34D8" w14:textId="77777777" w:rsidR="0037019E" w:rsidRPr="0037019E" w:rsidRDefault="0037019E" w:rsidP="0037019E">
      <w:pPr>
        <w:jc w:val="both"/>
        <w:rPr>
          <w:rFonts w:ascii="Garamond" w:hAnsi="Garamond" w:cstheme="minorHAnsi"/>
          <w:sz w:val="24"/>
          <w:szCs w:val="24"/>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0"/>
        <w:gridCol w:w="1005"/>
        <w:gridCol w:w="2631"/>
        <w:gridCol w:w="1276"/>
        <w:gridCol w:w="1843"/>
        <w:gridCol w:w="2409"/>
      </w:tblGrid>
      <w:tr w:rsidR="002F30AF" w:rsidRPr="00885568" w14:paraId="4B0960CE" w14:textId="77777777" w:rsidTr="002F30AF">
        <w:trPr>
          <w:trHeight w:val="870"/>
        </w:trPr>
        <w:tc>
          <w:tcPr>
            <w:tcW w:w="1405"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98513B" w14:textId="77777777" w:rsidR="002F30AF" w:rsidRPr="00885568" w:rsidRDefault="002F30AF" w:rsidP="002F30AF">
            <w:pPr>
              <w:spacing w:after="160" w:line="259" w:lineRule="auto"/>
              <w:jc w:val="center"/>
              <w:rPr>
                <w:rFonts w:ascii="Garamond" w:eastAsia="Calibri" w:hAnsi="Garamond"/>
                <w:b/>
                <w:bCs/>
                <w:kern w:val="2"/>
                <w:sz w:val="22"/>
                <w:szCs w:val="22"/>
                <w:lang w:eastAsia="es-CO"/>
                <w14:ligatures w14:val="standardContextual"/>
              </w:rPr>
            </w:pPr>
            <w:r w:rsidRPr="00885568">
              <w:rPr>
                <w:rFonts w:ascii="Garamond" w:eastAsia="Calibri" w:hAnsi="Garamond"/>
                <w:b/>
                <w:bCs/>
                <w:kern w:val="2"/>
                <w:sz w:val="22"/>
                <w:szCs w:val="22"/>
                <w:lang w:eastAsia="es-CO"/>
                <w14:ligatures w14:val="standardContextual"/>
              </w:rPr>
              <w:t>Localidad</w:t>
            </w:r>
          </w:p>
        </w:tc>
        <w:tc>
          <w:tcPr>
            <w:tcW w:w="263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1714ADC" w14:textId="77777777" w:rsidR="002F30AF" w:rsidRPr="00885568" w:rsidRDefault="002F30AF" w:rsidP="002F30AF">
            <w:pPr>
              <w:spacing w:after="160" w:line="259" w:lineRule="auto"/>
              <w:jc w:val="center"/>
              <w:rPr>
                <w:rFonts w:ascii="Garamond" w:eastAsia="Calibri" w:hAnsi="Garamond"/>
                <w:b/>
                <w:bCs/>
                <w:kern w:val="2"/>
                <w:sz w:val="22"/>
                <w:szCs w:val="22"/>
                <w:lang w:eastAsia="es-CO"/>
                <w14:ligatures w14:val="standardContextual"/>
              </w:rPr>
            </w:pPr>
            <w:r w:rsidRPr="00885568">
              <w:rPr>
                <w:rFonts w:ascii="Garamond" w:eastAsia="Calibri" w:hAnsi="Garamond"/>
                <w:b/>
                <w:bCs/>
                <w:kern w:val="2"/>
                <w:sz w:val="22"/>
                <w:szCs w:val="22"/>
                <w:lang w:eastAsia="es-CO"/>
                <w14:ligatures w14:val="standardContextual"/>
              </w:rPr>
              <w:t>Nombre del proyecto de inversión</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251884D" w14:textId="77777777" w:rsidR="002F30AF" w:rsidRPr="00885568" w:rsidRDefault="002F30AF" w:rsidP="002F30AF">
            <w:pPr>
              <w:spacing w:after="160" w:line="259" w:lineRule="auto"/>
              <w:jc w:val="center"/>
              <w:rPr>
                <w:rFonts w:ascii="Garamond" w:eastAsia="Calibri" w:hAnsi="Garamond"/>
                <w:b/>
                <w:bCs/>
                <w:kern w:val="2"/>
                <w:sz w:val="22"/>
                <w:szCs w:val="22"/>
                <w:lang w:eastAsia="es-CO"/>
                <w14:ligatures w14:val="standardContextual"/>
              </w:rPr>
            </w:pPr>
            <w:r w:rsidRPr="00885568">
              <w:rPr>
                <w:rFonts w:ascii="Garamond" w:eastAsia="Calibri" w:hAnsi="Garamond"/>
                <w:b/>
                <w:bCs/>
                <w:kern w:val="2"/>
                <w:sz w:val="22"/>
                <w:szCs w:val="22"/>
                <w:lang w:eastAsia="es-CO"/>
                <w14:ligatures w14:val="standardContextual"/>
              </w:rPr>
              <w:t>Número de proyecto de inversión</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E6DC85" w14:textId="77777777" w:rsidR="002F30AF" w:rsidRPr="00885568" w:rsidRDefault="002F30AF" w:rsidP="002F30AF">
            <w:pPr>
              <w:spacing w:after="160" w:line="259" w:lineRule="auto"/>
              <w:jc w:val="center"/>
              <w:rPr>
                <w:rFonts w:ascii="Garamond" w:eastAsia="Calibri" w:hAnsi="Garamond"/>
                <w:b/>
                <w:bCs/>
                <w:kern w:val="2"/>
                <w:sz w:val="22"/>
                <w:szCs w:val="22"/>
                <w:lang w:eastAsia="es-CO"/>
                <w14:ligatures w14:val="standardContextual"/>
              </w:rPr>
            </w:pPr>
            <w:r w:rsidRPr="00885568">
              <w:rPr>
                <w:rFonts w:ascii="Garamond" w:eastAsia="Calibri" w:hAnsi="Garamond"/>
                <w:b/>
                <w:bCs/>
                <w:kern w:val="2"/>
                <w:sz w:val="22"/>
                <w:szCs w:val="22"/>
                <w:lang w:eastAsia="es-CO"/>
                <w14:ligatures w14:val="standardContextual"/>
              </w:rPr>
              <w:t>Meta 2024</w:t>
            </w:r>
          </w:p>
        </w:tc>
        <w:tc>
          <w:tcPr>
            <w:tcW w:w="24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A6BF65" w14:textId="77777777" w:rsidR="002F30AF" w:rsidRPr="00885568" w:rsidRDefault="002F30AF" w:rsidP="002F30AF">
            <w:pPr>
              <w:spacing w:after="160" w:line="259" w:lineRule="auto"/>
              <w:jc w:val="center"/>
              <w:rPr>
                <w:rFonts w:ascii="Garamond" w:eastAsia="Calibri" w:hAnsi="Garamond"/>
                <w:b/>
                <w:bCs/>
                <w:kern w:val="2"/>
                <w:sz w:val="22"/>
                <w:szCs w:val="22"/>
                <w:lang w:eastAsia="es-CO"/>
                <w14:ligatures w14:val="standardContextual"/>
              </w:rPr>
            </w:pPr>
            <w:r w:rsidRPr="00885568">
              <w:rPr>
                <w:rFonts w:ascii="Garamond" w:eastAsia="Calibri" w:hAnsi="Garamond"/>
                <w:b/>
                <w:bCs/>
                <w:kern w:val="2"/>
                <w:sz w:val="22"/>
                <w:szCs w:val="22"/>
                <w:lang w:eastAsia="es-CO"/>
                <w14:ligatures w14:val="standardContextual"/>
              </w:rPr>
              <w:t>Recursos 2024</w:t>
            </w:r>
          </w:p>
        </w:tc>
      </w:tr>
      <w:tr w:rsidR="002F30AF" w:rsidRPr="00885568" w14:paraId="5FCD3159" w14:textId="77777777" w:rsidTr="00B11242">
        <w:trPr>
          <w:trHeight w:val="528"/>
        </w:trPr>
        <w:tc>
          <w:tcPr>
            <w:tcW w:w="400" w:type="dxa"/>
            <w:vMerge w:val="restart"/>
            <w:tcBorders>
              <w:top w:val="single" w:sz="4" w:space="0" w:color="auto"/>
              <w:left w:val="single" w:sz="4" w:space="0" w:color="auto"/>
              <w:bottom w:val="single" w:sz="4" w:space="0" w:color="auto"/>
              <w:right w:val="single" w:sz="4" w:space="0" w:color="auto"/>
            </w:tcBorders>
            <w:noWrap/>
            <w:vAlign w:val="center"/>
            <w:hideMark/>
          </w:tcPr>
          <w:p w14:paraId="41D393E1" w14:textId="5FA18185" w:rsidR="002F30AF" w:rsidRPr="00885568" w:rsidRDefault="000D3962" w:rsidP="002F30AF">
            <w:pPr>
              <w:spacing w:after="160" w:line="259" w:lineRule="auto"/>
              <w:jc w:val="center"/>
              <w:rPr>
                <w:rFonts w:ascii="Garamond" w:eastAsia="Calibri" w:hAnsi="Garamond" w:cs="Calibri"/>
                <w:kern w:val="2"/>
                <w:sz w:val="22"/>
                <w:szCs w:val="22"/>
                <w:lang w:eastAsia="es-CO"/>
                <w14:ligatures w14:val="standardContextual"/>
              </w:rPr>
            </w:pPr>
            <w:r>
              <w:rPr>
                <w:rFonts w:ascii="Garamond" w:eastAsia="Calibri" w:hAnsi="Garamond" w:cs="Calibri"/>
                <w:kern w:val="2"/>
                <w:sz w:val="22"/>
                <w:szCs w:val="22"/>
                <w:lang w:eastAsia="es-CO"/>
                <w14:ligatures w14:val="standardContextual"/>
              </w:rPr>
              <w:t>14</w:t>
            </w:r>
          </w:p>
        </w:tc>
        <w:tc>
          <w:tcPr>
            <w:tcW w:w="1005" w:type="dxa"/>
            <w:vMerge w:val="restart"/>
            <w:tcBorders>
              <w:top w:val="single" w:sz="4" w:space="0" w:color="auto"/>
              <w:left w:val="single" w:sz="4" w:space="0" w:color="auto"/>
              <w:bottom w:val="single" w:sz="4" w:space="0" w:color="auto"/>
              <w:right w:val="single" w:sz="4" w:space="0" w:color="auto"/>
            </w:tcBorders>
            <w:noWrap/>
            <w:vAlign w:val="center"/>
            <w:hideMark/>
          </w:tcPr>
          <w:p w14:paraId="6CDCFECB" w14:textId="21A01D55" w:rsidR="002F30AF" w:rsidRPr="00885568" w:rsidRDefault="000D3962" w:rsidP="00B87E41">
            <w:pPr>
              <w:spacing w:after="160" w:line="259" w:lineRule="auto"/>
              <w:jc w:val="center"/>
              <w:rPr>
                <w:rFonts w:ascii="Garamond" w:eastAsia="Calibri" w:hAnsi="Garamond" w:cs="Calibri"/>
                <w:kern w:val="2"/>
                <w:sz w:val="22"/>
                <w:szCs w:val="22"/>
                <w:lang w:eastAsia="es-CO"/>
                <w14:ligatures w14:val="standardContextual"/>
              </w:rPr>
            </w:pPr>
            <w:r>
              <w:rPr>
                <w:rFonts w:ascii="Garamond" w:eastAsia="Calibri" w:hAnsi="Garamond" w:cs="Calibri"/>
                <w:kern w:val="2"/>
                <w:sz w:val="22"/>
                <w:szCs w:val="22"/>
                <w:lang w:eastAsia="es-CO"/>
                <w14:ligatures w14:val="standardContextual"/>
              </w:rPr>
              <w:t>Los Mártires</w:t>
            </w:r>
          </w:p>
        </w:tc>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527ACB3" w14:textId="2604624F" w:rsidR="002F30AF" w:rsidRPr="00885568" w:rsidRDefault="003F0187" w:rsidP="002F30AF">
            <w:pPr>
              <w:spacing w:after="160" w:line="259" w:lineRule="auto"/>
              <w:jc w:val="center"/>
              <w:rPr>
                <w:rFonts w:ascii="Garamond" w:eastAsia="Calibri" w:hAnsi="Garamond" w:cs="Calibri"/>
                <w:kern w:val="2"/>
                <w:sz w:val="22"/>
                <w:szCs w:val="22"/>
                <w:lang w:eastAsia="es-CO"/>
                <w14:ligatures w14:val="standardContextual"/>
              </w:rPr>
            </w:pPr>
            <w:r>
              <w:rPr>
                <w:rFonts w:ascii="Garamond" w:eastAsia="Calibri" w:hAnsi="Garamond" w:cs="Calibri"/>
                <w:kern w:val="2"/>
                <w:sz w:val="22"/>
                <w:szCs w:val="22"/>
                <w:lang w:eastAsia="es-CO"/>
                <w14:ligatures w14:val="standardContextual"/>
              </w:rPr>
              <w:t xml:space="preserve">Mártires confía y le apuesta a su potencial </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0E195215" w14:textId="6797604A" w:rsidR="002F30AF" w:rsidRPr="00885568" w:rsidRDefault="003F0187" w:rsidP="002F30AF">
            <w:pPr>
              <w:spacing w:after="160" w:line="259" w:lineRule="auto"/>
              <w:jc w:val="center"/>
              <w:rPr>
                <w:rFonts w:ascii="Garamond" w:eastAsia="Calibri" w:hAnsi="Garamond" w:cs="Calibri"/>
                <w:kern w:val="2"/>
                <w:sz w:val="22"/>
                <w:szCs w:val="22"/>
                <w:lang w:eastAsia="es-CO"/>
                <w14:ligatures w14:val="standardContextual"/>
              </w:rPr>
            </w:pPr>
            <w:r>
              <w:rPr>
                <w:rFonts w:ascii="Garamond" w:eastAsia="Calibri" w:hAnsi="Garamond" w:cs="Calibri"/>
                <w:kern w:val="2"/>
                <w:sz w:val="22"/>
                <w:szCs w:val="22"/>
                <w:lang w:eastAsia="es-CO"/>
                <w14:ligatures w14:val="standardContextual"/>
              </w:rPr>
              <w:t>2749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C6E9743" w14:textId="77777777" w:rsidR="002F30AF" w:rsidRPr="00885568" w:rsidRDefault="002F30AF" w:rsidP="002F30AF">
            <w:pPr>
              <w:spacing w:after="160" w:line="259" w:lineRule="auto"/>
              <w:jc w:val="center"/>
              <w:rPr>
                <w:rFonts w:ascii="Garamond" w:eastAsia="Calibri" w:hAnsi="Garamond" w:cs="Calibri"/>
                <w:kern w:val="2"/>
                <w:sz w:val="22"/>
                <w:szCs w:val="22"/>
                <w:lang w:eastAsia="es-CO"/>
                <w14:ligatures w14:val="standardContextual"/>
              </w:rPr>
            </w:pPr>
            <w:r w:rsidRPr="00885568">
              <w:rPr>
                <w:rFonts w:ascii="Garamond" w:eastAsia="Calibri" w:hAnsi="Garamond" w:cs="Calibri"/>
                <w:kern w:val="2"/>
                <w:sz w:val="22"/>
                <w:szCs w:val="22"/>
                <w:lang w:eastAsia="es-CO"/>
                <w14:ligatures w14:val="standardContextual"/>
              </w:rPr>
              <w:t xml:space="preserve">ACCESO </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39ADE8EA" w14:textId="5827ACC2" w:rsidR="002F30AF" w:rsidRPr="00885568" w:rsidRDefault="00C82317" w:rsidP="002F30AF">
            <w:pPr>
              <w:spacing w:after="160" w:line="259" w:lineRule="auto"/>
              <w:jc w:val="center"/>
              <w:rPr>
                <w:rFonts w:ascii="Garamond" w:eastAsia="Calibri" w:hAnsi="Garamond" w:cs="Calibri"/>
                <w:color w:val="444444"/>
                <w:kern w:val="2"/>
                <w:sz w:val="22"/>
                <w:szCs w:val="22"/>
                <w:lang w:eastAsia="en-US"/>
                <w14:ligatures w14:val="standardContextual"/>
              </w:rPr>
            </w:pPr>
            <w:r w:rsidRPr="00885568">
              <w:rPr>
                <w:rFonts w:ascii="Garamond" w:eastAsia="Calibri" w:hAnsi="Garamond" w:cs="Calibri"/>
                <w:kern w:val="2"/>
                <w:sz w:val="22"/>
                <w:szCs w:val="22"/>
                <w:lang w:eastAsia="en-US"/>
                <w14:ligatures w14:val="standardContextual"/>
              </w:rPr>
              <w:t>$</w:t>
            </w:r>
            <w:r w:rsidR="007A2A34">
              <w:rPr>
                <w:rFonts w:ascii="Garamond" w:eastAsia="Calibri" w:hAnsi="Garamond" w:cs="Calibri"/>
                <w:kern w:val="2"/>
                <w:sz w:val="22"/>
                <w:szCs w:val="22"/>
                <w:lang w:val="es-ES" w:eastAsia="en-US"/>
                <w14:ligatures w14:val="standardContextual"/>
              </w:rPr>
              <w:t>2.826.000.000</w:t>
            </w:r>
          </w:p>
        </w:tc>
      </w:tr>
      <w:tr w:rsidR="002F30AF" w:rsidRPr="00885568" w14:paraId="58BCD935" w14:textId="77777777" w:rsidTr="00B11242">
        <w:trPr>
          <w:trHeight w:val="5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B0317" w14:textId="77777777" w:rsidR="002F30AF" w:rsidRPr="00885568" w:rsidRDefault="002F30AF" w:rsidP="002F30AF">
            <w:pPr>
              <w:spacing w:after="160" w:line="256" w:lineRule="auto"/>
              <w:rPr>
                <w:rFonts w:ascii="Garamond" w:eastAsia="Calibri" w:hAnsi="Garamond" w:cs="Calibri"/>
                <w:kern w:val="2"/>
                <w:sz w:val="22"/>
                <w:szCs w:val="22"/>
                <w:lang w:eastAsia="es-CO"/>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26871" w14:textId="77777777" w:rsidR="002F30AF" w:rsidRPr="00885568" w:rsidRDefault="002F30AF" w:rsidP="002F30AF">
            <w:pPr>
              <w:spacing w:after="160" w:line="256" w:lineRule="auto"/>
              <w:rPr>
                <w:rFonts w:ascii="Garamond" w:eastAsia="Calibri" w:hAnsi="Garamond" w:cs="Calibri"/>
                <w:kern w:val="2"/>
                <w:sz w:val="22"/>
                <w:szCs w:val="22"/>
                <w:lang w:eastAsia="es-CO"/>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7DC8" w14:textId="77777777" w:rsidR="002F30AF" w:rsidRPr="00885568" w:rsidRDefault="002F30AF" w:rsidP="002F30AF">
            <w:pPr>
              <w:spacing w:after="160" w:line="256" w:lineRule="auto"/>
              <w:rPr>
                <w:rFonts w:ascii="Garamond" w:eastAsia="Calibri" w:hAnsi="Garamond" w:cs="Calibri"/>
                <w:kern w:val="2"/>
                <w:sz w:val="22"/>
                <w:szCs w:val="22"/>
                <w:lang w:eastAsia="es-CO"/>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4D7B" w14:textId="77777777" w:rsidR="002F30AF" w:rsidRPr="00885568" w:rsidRDefault="002F30AF" w:rsidP="002F30AF">
            <w:pPr>
              <w:spacing w:after="160" w:line="256" w:lineRule="auto"/>
              <w:rPr>
                <w:rFonts w:ascii="Garamond" w:eastAsia="Calibri" w:hAnsi="Garamond" w:cs="Calibri"/>
                <w:kern w:val="2"/>
                <w:sz w:val="22"/>
                <w:szCs w:val="22"/>
                <w:lang w:eastAsia="es-CO"/>
                <w14:ligatures w14:val="standardContextual"/>
              </w:rPr>
            </w:pP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02C29C5" w14:textId="77777777" w:rsidR="002F30AF" w:rsidRPr="00885568" w:rsidRDefault="002F30AF" w:rsidP="002F30AF">
            <w:pPr>
              <w:spacing w:after="160" w:line="259" w:lineRule="auto"/>
              <w:jc w:val="center"/>
              <w:rPr>
                <w:rFonts w:ascii="Garamond" w:eastAsia="Calibri" w:hAnsi="Garamond" w:cs="Calibri"/>
                <w:kern w:val="2"/>
                <w:sz w:val="22"/>
                <w:szCs w:val="22"/>
                <w:lang w:eastAsia="es-CO"/>
                <w14:ligatures w14:val="standardContextual"/>
              </w:rPr>
            </w:pPr>
            <w:r w:rsidRPr="00885568">
              <w:rPr>
                <w:rFonts w:ascii="Garamond" w:eastAsia="Calibri" w:hAnsi="Garamond" w:cs="Calibri"/>
                <w:kern w:val="2"/>
                <w:sz w:val="22"/>
                <w:szCs w:val="22"/>
                <w:lang w:eastAsia="es-CO"/>
                <w14:ligatures w14:val="standardContextual"/>
              </w:rPr>
              <w:t xml:space="preserve">PERMANENCIA </w:t>
            </w:r>
          </w:p>
        </w:tc>
        <w:tc>
          <w:tcPr>
            <w:tcW w:w="2409" w:type="dxa"/>
            <w:tcBorders>
              <w:top w:val="single" w:sz="4" w:space="0" w:color="auto"/>
              <w:left w:val="single" w:sz="4" w:space="0" w:color="auto"/>
              <w:bottom w:val="single" w:sz="4" w:space="0" w:color="auto"/>
              <w:right w:val="single" w:sz="4" w:space="0" w:color="auto"/>
            </w:tcBorders>
            <w:noWrap/>
            <w:vAlign w:val="bottom"/>
            <w:hideMark/>
          </w:tcPr>
          <w:p w14:paraId="794B4C59" w14:textId="673787C5" w:rsidR="002F30AF" w:rsidRPr="00885568" w:rsidRDefault="00C82317" w:rsidP="002F30AF">
            <w:pPr>
              <w:spacing w:after="160" w:line="259" w:lineRule="auto"/>
              <w:jc w:val="center"/>
              <w:rPr>
                <w:rFonts w:ascii="Garamond" w:eastAsia="Calibri" w:hAnsi="Garamond" w:cs="Calibri"/>
                <w:kern w:val="2"/>
                <w:sz w:val="22"/>
                <w:szCs w:val="22"/>
                <w:lang w:eastAsia="es-CO"/>
                <w14:ligatures w14:val="standardContextual"/>
              </w:rPr>
            </w:pPr>
            <w:r w:rsidRPr="00885568">
              <w:rPr>
                <w:rFonts w:ascii="Garamond" w:eastAsia="Calibri" w:hAnsi="Garamond" w:cs="Calibri"/>
                <w:kern w:val="2"/>
                <w:sz w:val="22"/>
                <w:szCs w:val="22"/>
                <w:lang w:eastAsia="es-CO"/>
                <w14:ligatures w14:val="standardContextual"/>
              </w:rPr>
              <w:t>$</w:t>
            </w:r>
            <w:r w:rsidR="007A2A34">
              <w:rPr>
                <w:rFonts w:ascii="Garamond" w:eastAsia="Calibri" w:hAnsi="Garamond" w:cs="Calibri"/>
                <w:kern w:val="2"/>
                <w:sz w:val="22"/>
                <w:szCs w:val="22"/>
                <w:lang w:eastAsia="es-CO"/>
                <w14:ligatures w14:val="standardContextual"/>
              </w:rPr>
              <w:t>734.000.000</w:t>
            </w:r>
          </w:p>
        </w:tc>
      </w:tr>
    </w:tbl>
    <w:p w14:paraId="0A744F01" w14:textId="25675B73" w:rsidR="002F30AF" w:rsidRPr="00885568" w:rsidRDefault="002F30AF" w:rsidP="00F2652E">
      <w:pPr>
        <w:pStyle w:val="Prrafodelista"/>
        <w:spacing w:after="0" w:line="240" w:lineRule="auto"/>
        <w:ind w:left="284" w:hanging="284"/>
        <w:jc w:val="both"/>
        <w:rPr>
          <w:rFonts w:cstheme="minorHAnsi"/>
          <w:i/>
          <w:iCs/>
          <w:sz w:val="18"/>
          <w:szCs w:val="18"/>
        </w:rPr>
      </w:pPr>
    </w:p>
    <w:p w14:paraId="29E5A329" w14:textId="63AEE779" w:rsidR="002F30AF" w:rsidRPr="00885568" w:rsidRDefault="002F30AF" w:rsidP="002F30AF">
      <w:pPr>
        <w:rPr>
          <w:rFonts w:ascii="Garamond" w:hAnsi="Garamond"/>
          <w:sz w:val="24"/>
          <w:szCs w:val="24"/>
          <w:lang w:val="es-ES"/>
        </w:rPr>
      </w:pPr>
      <w:r w:rsidRPr="00885568">
        <w:rPr>
          <w:rFonts w:ascii="Garamond" w:hAnsi="Garamond"/>
          <w:sz w:val="24"/>
          <w:szCs w:val="24"/>
          <w:lang w:val="es-ES"/>
        </w:rPr>
        <w:t>Discriminado de la siguiente manera:</w:t>
      </w:r>
    </w:p>
    <w:p w14:paraId="10BB7CA3" w14:textId="77777777" w:rsidR="002F30AF" w:rsidRPr="00885568" w:rsidRDefault="002F30AF" w:rsidP="002F30AF">
      <w:pPr>
        <w:rPr>
          <w:rFonts w:ascii="Garamond" w:hAnsi="Garamond"/>
          <w:lang w:val="es-ES"/>
        </w:rPr>
      </w:pPr>
    </w:p>
    <w:tbl>
      <w:tblPr>
        <w:tblStyle w:val="Tablaconcuadrcula"/>
        <w:tblW w:w="0" w:type="auto"/>
        <w:jc w:val="center"/>
        <w:tblLayout w:type="fixed"/>
        <w:tblLook w:val="06A0" w:firstRow="1" w:lastRow="0" w:firstColumn="1" w:lastColumn="0" w:noHBand="1" w:noVBand="1"/>
      </w:tblPr>
      <w:tblGrid>
        <w:gridCol w:w="4537"/>
        <w:gridCol w:w="1843"/>
      </w:tblGrid>
      <w:tr w:rsidR="002F30AF" w:rsidRPr="00885568" w14:paraId="46937A5F" w14:textId="77777777" w:rsidTr="00B11242">
        <w:trPr>
          <w:trHeight w:val="641"/>
          <w:jc w:val="center"/>
        </w:trPr>
        <w:tc>
          <w:tcPr>
            <w:tcW w:w="4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9B13103" w14:textId="77777777" w:rsidR="002F30AF" w:rsidRPr="00885568" w:rsidRDefault="002F30AF" w:rsidP="00B11242">
            <w:pPr>
              <w:jc w:val="center"/>
              <w:rPr>
                <w:rFonts w:ascii="Garamond" w:hAnsi="Garamond"/>
              </w:rPr>
            </w:pPr>
            <w:r w:rsidRPr="00885568">
              <w:rPr>
                <w:rFonts w:ascii="Garamond" w:hAnsi="Garamond" w:cs="Calibri"/>
                <w:b/>
                <w:bCs/>
                <w:color w:val="000000" w:themeColor="text1"/>
              </w:rPr>
              <w:t xml:space="preserve">META </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DB2271E" w14:textId="77777777" w:rsidR="002F30AF" w:rsidRPr="00885568" w:rsidRDefault="002F30AF" w:rsidP="00B11242">
            <w:pPr>
              <w:jc w:val="center"/>
              <w:rPr>
                <w:rFonts w:ascii="Garamond" w:hAnsi="Garamond"/>
              </w:rPr>
            </w:pPr>
            <w:r w:rsidRPr="00885568">
              <w:rPr>
                <w:rFonts w:ascii="Garamond" w:hAnsi="Garamond" w:cs="Calibri"/>
                <w:b/>
                <w:bCs/>
                <w:color w:val="000000" w:themeColor="text1"/>
              </w:rPr>
              <w:t>RECURSOS</w:t>
            </w:r>
          </w:p>
        </w:tc>
      </w:tr>
      <w:tr w:rsidR="002F30AF" w:rsidRPr="00885568" w14:paraId="4A7E4CF2" w14:textId="77777777" w:rsidTr="00B11242">
        <w:trPr>
          <w:trHeight w:val="315"/>
          <w:jc w:val="center"/>
        </w:trPr>
        <w:tc>
          <w:tcPr>
            <w:tcW w:w="453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2CA6B80" w14:textId="4E38E9C7" w:rsidR="002F30AF" w:rsidRPr="00885568" w:rsidRDefault="000D3962" w:rsidP="00B11242">
            <w:pPr>
              <w:jc w:val="both"/>
              <w:rPr>
                <w:rFonts w:ascii="Garamond" w:hAnsi="Garamond"/>
              </w:rPr>
            </w:pPr>
            <w:r>
              <w:rPr>
                <w:rFonts w:ascii="Garamond" w:hAnsi="Garamond"/>
              </w:rPr>
              <w:t>Beneficiar 50</w:t>
            </w:r>
            <w:r w:rsidR="002F30AF" w:rsidRPr="00885568">
              <w:rPr>
                <w:rFonts w:ascii="Garamond" w:hAnsi="Garamond"/>
              </w:rPr>
              <w:t xml:space="preserve"> personas con apoyo para la educación superior</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8AD0EF" w14:textId="67B485AD" w:rsidR="002F30AF" w:rsidRPr="00885568" w:rsidRDefault="002F30AF" w:rsidP="00B11242">
            <w:pPr>
              <w:jc w:val="center"/>
              <w:rPr>
                <w:rFonts w:ascii="Garamond" w:hAnsi="Garamond"/>
              </w:rPr>
            </w:pPr>
            <w:r w:rsidRPr="00885568">
              <w:rPr>
                <w:rFonts w:ascii="Garamond" w:hAnsi="Garamond"/>
              </w:rPr>
              <w:t>$</w:t>
            </w:r>
            <w:r w:rsidR="007A2A34">
              <w:rPr>
                <w:rFonts w:ascii="Garamond" w:eastAsia="Calibri" w:hAnsi="Garamond" w:cs="Calibri"/>
                <w:kern w:val="2"/>
                <w:sz w:val="22"/>
                <w:szCs w:val="22"/>
                <w:lang w:val="es-ES" w:eastAsia="en-US"/>
                <w14:ligatures w14:val="standardContextual"/>
              </w:rPr>
              <w:t>2.826.000.000</w:t>
            </w:r>
          </w:p>
        </w:tc>
      </w:tr>
      <w:tr w:rsidR="002F30AF" w:rsidRPr="00885568" w14:paraId="5F53A265" w14:textId="77777777" w:rsidTr="00B11242">
        <w:trPr>
          <w:trHeight w:val="609"/>
          <w:jc w:val="center"/>
        </w:trPr>
        <w:tc>
          <w:tcPr>
            <w:tcW w:w="453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5ABDDF" w14:textId="3DC6EA92" w:rsidR="002F30AF" w:rsidRPr="00885568" w:rsidRDefault="000D3962" w:rsidP="00B11242">
            <w:pPr>
              <w:jc w:val="both"/>
              <w:rPr>
                <w:rFonts w:ascii="Garamond" w:hAnsi="Garamond"/>
              </w:rPr>
            </w:pPr>
            <w:r>
              <w:rPr>
                <w:rFonts w:ascii="Garamond" w:hAnsi="Garamond"/>
              </w:rPr>
              <w:t>Beneficiar 50</w:t>
            </w:r>
            <w:r w:rsidR="00B87E41" w:rsidRPr="00885568">
              <w:rPr>
                <w:rFonts w:ascii="Garamond" w:hAnsi="Garamond"/>
              </w:rPr>
              <w:t xml:space="preserve"> </w:t>
            </w:r>
            <w:r w:rsidR="002F30AF" w:rsidRPr="00885568">
              <w:rPr>
                <w:rFonts w:ascii="Garamond" w:hAnsi="Garamond"/>
              </w:rPr>
              <w:t>estudiantes de programas de educación superior con apoyo de sostenimiento para la permanencia.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330BAC" w14:textId="026D2273" w:rsidR="002F30AF" w:rsidRPr="00885568" w:rsidRDefault="00C82317" w:rsidP="00B11242">
            <w:pPr>
              <w:jc w:val="center"/>
              <w:rPr>
                <w:rFonts w:ascii="Garamond" w:hAnsi="Garamond"/>
              </w:rPr>
            </w:pPr>
            <w:r w:rsidRPr="00885568">
              <w:rPr>
                <w:rFonts w:ascii="Garamond" w:hAnsi="Garamond"/>
              </w:rPr>
              <w:t>$</w:t>
            </w:r>
            <w:r w:rsidR="007A2A34">
              <w:rPr>
                <w:rFonts w:ascii="Garamond" w:hAnsi="Garamond"/>
              </w:rPr>
              <w:t>734.000.000</w:t>
            </w:r>
          </w:p>
        </w:tc>
      </w:tr>
    </w:tbl>
    <w:p w14:paraId="60856564" w14:textId="77777777" w:rsidR="00DB0197" w:rsidRPr="00885568" w:rsidRDefault="00DB0197" w:rsidP="00E02F90">
      <w:pPr>
        <w:pStyle w:val="NormalWeb"/>
        <w:jc w:val="both"/>
        <w:rPr>
          <w:rFonts w:ascii="Garamond" w:hAnsi="Garamond" w:cs="Segoe UI"/>
          <w:lang w:val="es-MX" w:eastAsia="es-MX"/>
        </w:rPr>
      </w:pPr>
    </w:p>
    <w:p w14:paraId="17D7420E" w14:textId="3836E196" w:rsidR="00394D50" w:rsidRPr="00885568" w:rsidRDefault="00992A54" w:rsidP="0055415A">
      <w:pPr>
        <w:pStyle w:val="NormalWeb"/>
        <w:jc w:val="both"/>
        <w:rPr>
          <w:rFonts w:ascii="Garamond" w:hAnsi="Garamond" w:cs="Segoe UI"/>
          <w:b/>
          <w:lang w:val="es-MX" w:eastAsia="es-MX"/>
        </w:rPr>
      </w:pPr>
      <w:r w:rsidRPr="00885568">
        <w:rPr>
          <w:rFonts w:ascii="Garamond" w:hAnsi="Garamond" w:cs="Segoe UI"/>
          <w:b/>
          <w:lang w:val="es-MX" w:eastAsia="es-MX"/>
        </w:rPr>
        <w:t xml:space="preserve">4.2. PROYECCIÓN PRESUPUESTAL </w:t>
      </w:r>
    </w:p>
    <w:p w14:paraId="30241DAC" w14:textId="60CFF030" w:rsidR="00394D50" w:rsidRPr="00885568" w:rsidRDefault="00394D50" w:rsidP="00E02F90">
      <w:pPr>
        <w:pStyle w:val="NormalWeb"/>
        <w:jc w:val="both"/>
        <w:rPr>
          <w:rFonts w:ascii="Garamond" w:hAnsi="Garamond" w:cs="Segoe UI"/>
          <w:lang w:val="es-MX" w:eastAsia="es-MX"/>
        </w:rPr>
      </w:pPr>
    </w:p>
    <w:p w14:paraId="2E19F664" w14:textId="3DDE8531" w:rsidR="0067734C" w:rsidRPr="00885568" w:rsidRDefault="0067734C" w:rsidP="0067734C">
      <w:pPr>
        <w:pStyle w:val="NormalWeb"/>
        <w:jc w:val="both"/>
        <w:rPr>
          <w:rFonts w:ascii="Garamond" w:hAnsi="Garamond" w:cs="Segoe UI"/>
          <w:lang w:eastAsia="es-MX"/>
        </w:rPr>
      </w:pPr>
      <w:r w:rsidRPr="00885568">
        <w:rPr>
          <w:rFonts w:ascii="Garamond" w:hAnsi="Garamond" w:cs="Segoe UI"/>
          <w:lang w:eastAsia="es-MX"/>
        </w:rPr>
        <w:lastRenderedPageBreak/>
        <w:t xml:space="preserve"> La Agencia Atenea realizará mediante la herramienta de apoyo de Excel “calculadora”, una </w:t>
      </w:r>
      <w:r w:rsidRPr="00885568">
        <w:rPr>
          <w:rFonts w:ascii="Garamond" w:hAnsi="Garamond" w:cs="Segoe UI"/>
          <w:b/>
          <w:bCs/>
          <w:u w:val="single"/>
          <w:lang w:eastAsia="es-MX"/>
        </w:rPr>
        <w:t>proyección</w:t>
      </w:r>
      <w:r w:rsidRPr="00885568">
        <w:rPr>
          <w:rFonts w:ascii="Garamond" w:hAnsi="Garamond" w:cs="Segoe UI"/>
          <w:lang w:eastAsia="es-MX"/>
        </w:rPr>
        <w:t xml:space="preserve"> de metas vs presupuesto de acuerdo a las condiciones acordadas en las mesas de negociación realizadas en el marco de la planeación del convenio, las cuales podrán variar de acuerdo a los precios del mercado, la cantidad de población beneficiaria y las fluctuaciones inflacionarias de los diferentes periodos académicos. Se debe recordar que la proyección puede detallar una cantidad de estudiantes matriculados en los niveles de formación técnico profesional, tecnológico y profesional universitario, sin embargo, eso puede variar de acuerdo a la cantidad de jóvenes que se inscriban y sus preferencias académicas, razón por la cual los valores calculados no podrán ser tomados como valores absolutos.</w:t>
      </w:r>
    </w:p>
    <w:p w14:paraId="7574826F" w14:textId="77777777" w:rsidR="00E139D1" w:rsidRDefault="00E139D1" w:rsidP="00E02F90">
      <w:pPr>
        <w:pStyle w:val="NormalWeb"/>
        <w:jc w:val="both"/>
        <w:rPr>
          <w:rFonts w:ascii="Garamond" w:hAnsi="Garamond" w:cs="Segoe UI"/>
          <w:lang w:eastAsia="es-MX"/>
        </w:rPr>
      </w:pPr>
    </w:p>
    <w:p w14:paraId="723B5DF5" w14:textId="3A3A9BB7" w:rsidR="00642052" w:rsidRPr="00885568" w:rsidRDefault="0067734C" w:rsidP="00E02F90">
      <w:pPr>
        <w:pStyle w:val="NormalWeb"/>
        <w:jc w:val="both"/>
        <w:rPr>
          <w:rFonts w:ascii="Garamond" w:hAnsi="Garamond" w:cs="Segoe UI"/>
          <w:lang w:eastAsia="es-MX"/>
        </w:rPr>
      </w:pPr>
      <w:r w:rsidRPr="00885568">
        <w:rPr>
          <w:rFonts w:ascii="Garamond" w:hAnsi="Garamond" w:cs="Segoe UI"/>
          <w:lang w:eastAsia="es-MX"/>
        </w:rPr>
        <w:t xml:space="preserve">La proyección financiera de un programa educativo depende de diversas variables que deben ser cuidadosamente consideradas para obtener una estimación aproximada a la realidad. Entre los factores a tener en cuenta se encuentran </w:t>
      </w:r>
      <w:r w:rsidRPr="00885568">
        <w:rPr>
          <w:rFonts w:ascii="Garamond" w:hAnsi="Garamond" w:cs="Segoe UI"/>
          <w:b/>
          <w:bCs/>
          <w:i/>
          <w:iCs/>
          <w:lang w:eastAsia="es-MX"/>
        </w:rPr>
        <w:t>los indicadores</w:t>
      </w:r>
      <w:r w:rsidRPr="00885568">
        <w:rPr>
          <w:rFonts w:ascii="Garamond" w:hAnsi="Garamond" w:cs="Segoe UI"/>
          <w:lang w:eastAsia="es-MX"/>
        </w:rPr>
        <w:t xml:space="preserve"> macro y microeconómicos, que reflejan la situación económica general y específica del entorno en el que se desarrollará el programa “estos pueden variar durante el desarrollo de la formación de los jóvenes”. Además, el </w:t>
      </w:r>
      <w:r w:rsidRPr="00885568">
        <w:rPr>
          <w:rFonts w:ascii="Garamond" w:hAnsi="Garamond" w:cs="Segoe UI"/>
          <w:b/>
          <w:bCs/>
          <w:i/>
          <w:iCs/>
          <w:lang w:eastAsia="es-MX"/>
        </w:rPr>
        <w:t>valor promedio de los derechos pecuniarios</w:t>
      </w:r>
      <w:r w:rsidRPr="00885568">
        <w:rPr>
          <w:rFonts w:ascii="Garamond" w:hAnsi="Garamond" w:cs="Segoe UI"/>
          <w:lang w:eastAsia="es-MX"/>
        </w:rPr>
        <w:t xml:space="preserve"> es fundamental para determinar la amortización derivada de los pagos derivado de las matrículas o canasta de créditos (Línea de Acceso) aplicables de acuerdo con la Resolución Anual de derechos pecuniarios emitida por cada IES, además de las dispersiones de apoyos económicos (Línea de Permanencia) consignada a cada joven beneficiario si se encuentra matriculado dentro del semestre</w:t>
      </w:r>
      <w:r w:rsidRPr="00885568">
        <w:rPr>
          <w:rFonts w:ascii="Garamond" w:hAnsi="Garamond" w:cs="Segoe UI"/>
          <w:b/>
          <w:bCs/>
          <w:i/>
          <w:iCs/>
          <w:lang w:eastAsia="es-MX"/>
        </w:rPr>
        <w:t>. La demanda de carreras</w:t>
      </w:r>
      <w:r w:rsidRPr="00885568">
        <w:rPr>
          <w:rFonts w:ascii="Garamond" w:hAnsi="Garamond" w:cs="Segoe UI"/>
          <w:lang w:eastAsia="es-MX"/>
        </w:rPr>
        <w:t xml:space="preserve"> por parte de los jóvenes, la cual varía según la localidad, influye directamente en la inscripción y numero de cupos a ocupar por cada aspirante, lo cual impacta directamente en los recursos comprometidos para cada uno de los</w:t>
      </w:r>
      <w:r w:rsidRPr="00885568">
        <w:rPr>
          <w:rFonts w:ascii="Garamond" w:hAnsi="Garamond" w:cs="Segoe UI"/>
          <w:b/>
          <w:bCs/>
          <w:i/>
          <w:iCs/>
          <w:lang w:eastAsia="es-MX"/>
        </w:rPr>
        <w:t xml:space="preserve"> cupos</w:t>
      </w:r>
      <w:r w:rsidRPr="00885568">
        <w:rPr>
          <w:rFonts w:ascii="Garamond" w:hAnsi="Garamond" w:cs="Segoe UI"/>
          <w:lang w:eastAsia="es-MX"/>
        </w:rPr>
        <w:t xml:space="preserve"> suscritos con cada una de las IES vinculadas al programa. </w:t>
      </w:r>
      <w:r w:rsidRPr="00885568">
        <w:rPr>
          <w:rFonts w:ascii="Garamond" w:hAnsi="Garamond" w:cs="Segoe UI"/>
          <w:b/>
          <w:bCs/>
          <w:i/>
          <w:iCs/>
          <w:lang w:eastAsia="es-MX"/>
        </w:rPr>
        <w:t>El tiempo</w:t>
      </w:r>
      <w:r w:rsidRPr="00885568">
        <w:rPr>
          <w:rFonts w:ascii="Garamond" w:hAnsi="Garamond" w:cs="Segoe UI"/>
          <w:lang w:eastAsia="es-MX"/>
        </w:rPr>
        <w:t xml:space="preserve"> de duración de la carrera y el </w:t>
      </w:r>
      <w:r w:rsidRPr="00885568">
        <w:rPr>
          <w:rFonts w:ascii="Garamond" w:hAnsi="Garamond" w:cs="Segoe UI"/>
          <w:b/>
          <w:bCs/>
          <w:i/>
          <w:iCs/>
          <w:lang w:eastAsia="es-MX"/>
        </w:rPr>
        <w:t>nivel de formación</w:t>
      </w:r>
      <w:r w:rsidRPr="00885568">
        <w:rPr>
          <w:rFonts w:ascii="Garamond" w:hAnsi="Garamond" w:cs="Segoe UI"/>
          <w:lang w:eastAsia="es-MX"/>
        </w:rPr>
        <w:t xml:space="preserve"> también juegan un papel crucial, ya que impactan en la estructura de financiamiento del programa. En conjunto, estas variables proporcionan una visión integral necesaria para la elaboración de una estimación financiera cercana a la realidad, pero que al fin de cu</w:t>
      </w:r>
      <w:r w:rsidR="00611152">
        <w:rPr>
          <w:rFonts w:ascii="Garamond" w:hAnsi="Garamond" w:cs="Segoe UI"/>
          <w:lang w:eastAsia="es-MX"/>
        </w:rPr>
        <w:t>entas obedece a una proyección.</w:t>
      </w:r>
    </w:p>
    <w:p w14:paraId="34F1FCC8" w14:textId="1C2D3ABC" w:rsidR="003E7FC7" w:rsidRPr="00885568" w:rsidRDefault="005C4629" w:rsidP="004F7975">
      <w:pPr>
        <w:spacing w:before="100" w:beforeAutospacing="1" w:after="100" w:afterAutospacing="1"/>
        <w:jc w:val="both"/>
        <w:rPr>
          <w:rFonts w:ascii="Garamond" w:hAnsi="Garamond" w:cs="Segoe UI"/>
          <w:b/>
          <w:bCs/>
          <w:color w:val="000000"/>
          <w:sz w:val="24"/>
          <w:szCs w:val="24"/>
          <w:lang w:val="es-MX" w:eastAsia="es-MX"/>
        </w:rPr>
      </w:pPr>
      <w:r w:rsidRPr="00885568">
        <w:rPr>
          <w:rFonts w:ascii="Garamond" w:hAnsi="Garamond" w:cs="Segoe UI"/>
          <w:b/>
          <w:bCs/>
          <w:color w:val="000000"/>
          <w:sz w:val="24"/>
          <w:szCs w:val="24"/>
          <w:lang w:val="es-MX" w:eastAsia="es-MX"/>
        </w:rPr>
        <w:t xml:space="preserve">4.3. </w:t>
      </w:r>
      <w:r w:rsidR="000343B2" w:rsidRPr="00885568">
        <w:rPr>
          <w:rFonts w:ascii="Garamond" w:hAnsi="Garamond" w:cs="Segoe UI"/>
          <w:b/>
          <w:bCs/>
          <w:color w:val="000000"/>
          <w:sz w:val="24"/>
          <w:szCs w:val="24"/>
          <w:lang w:val="es-MX" w:eastAsia="es-MX"/>
        </w:rPr>
        <w:t xml:space="preserve">ANÁLISIS </w:t>
      </w:r>
      <w:r w:rsidR="00014801" w:rsidRPr="00885568">
        <w:rPr>
          <w:rFonts w:ascii="Garamond" w:hAnsi="Garamond" w:cs="Segoe UI"/>
          <w:b/>
          <w:bCs/>
          <w:color w:val="000000"/>
          <w:sz w:val="24"/>
          <w:szCs w:val="24"/>
          <w:lang w:val="es-MX" w:eastAsia="es-MX"/>
        </w:rPr>
        <w:t>DEL SECTOR</w:t>
      </w:r>
    </w:p>
    <w:p w14:paraId="7F210975" w14:textId="77777777" w:rsidR="00D819AC" w:rsidRPr="00885568" w:rsidRDefault="00D819AC" w:rsidP="00D819AC">
      <w:pPr>
        <w:jc w:val="both"/>
        <w:rPr>
          <w:rFonts w:ascii="Garamond" w:hAnsi="Garamond"/>
          <w:sz w:val="24"/>
          <w:szCs w:val="24"/>
        </w:rPr>
      </w:pPr>
      <w:r w:rsidRPr="00885568">
        <w:rPr>
          <w:rFonts w:ascii="Garamond" w:hAnsi="Garamond"/>
          <w:sz w:val="24"/>
          <w:szCs w:val="24"/>
        </w:rPr>
        <w:t>De conformidad con el artículo 2.2.1.1.1.6.1. del Decreto 1082 del 2015</w:t>
      </w:r>
      <w:r w:rsidRPr="00885568">
        <w:rPr>
          <w:rFonts w:ascii="Garamond" w:hAnsi="Garamond"/>
          <w:i/>
          <w:iCs/>
          <w:sz w:val="24"/>
          <w:szCs w:val="24"/>
        </w:rPr>
        <w:t xml:space="preserve"> “Deber de análisis de las Entidades Estatales” </w:t>
      </w:r>
      <w:r w:rsidRPr="00885568">
        <w:rPr>
          <w:rFonts w:ascii="Garamond" w:hAnsi="Garamond"/>
          <w:sz w:val="24"/>
          <w:szCs w:val="24"/>
        </w:rPr>
        <w:t>el cual expresa:</w:t>
      </w:r>
    </w:p>
    <w:p w14:paraId="3174BDAC" w14:textId="77777777" w:rsidR="00D819AC" w:rsidRPr="00885568" w:rsidRDefault="00D819AC" w:rsidP="00D819AC">
      <w:pPr>
        <w:jc w:val="both"/>
        <w:rPr>
          <w:rFonts w:ascii="Garamond" w:hAnsi="Garamond"/>
          <w:sz w:val="24"/>
          <w:szCs w:val="24"/>
        </w:rPr>
      </w:pPr>
    </w:p>
    <w:p w14:paraId="669D462D" w14:textId="77777777" w:rsidR="00D819AC" w:rsidRPr="00885568" w:rsidRDefault="00D819AC" w:rsidP="00D819AC">
      <w:pPr>
        <w:jc w:val="both"/>
        <w:rPr>
          <w:rFonts w:ascii="Garamond" w:hAnsi="Garamond"/>
          <w:i/>
          <w:iCs/>
          <w:sz w:val="24"/>
          <w:szCs w:val="24"/>
        </w:rPr>
      </w:pPr>
      <w:r w:rsidRPr="00885568">
        <w:rPr>
          <w:rFonts w:ascii="Garamond" w:hAnsi="Garamond"/>
          <w:i/>
          <w:iCs/>
          <w:sz w:val="24"/>
          <w:szCs w:val="24"/>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3A9A0C42" w14:textId="77777777" w:rsidR="00D819AC" w:rsidRPr="00885568" w:rsidRDefault="00D819AC" w:rsidP="00D819AC">
      <w:pPr>
        <w:jc w:val="both"/>
        <w:rPr>
          <w:rFonts w:ascii="Garamond" w:hAnsi="Garamond"/>
          <w:i/>
          <w:iCs/>
          <w:sz w:val="24"/>
          <w:szCs w:val="24"/>
        </w:rPr>
      </w:pPr>
    </w:p>
    <w:p w14:paraId="42D506A2" w14:textId="77777777" w:rsidR="00D819AC" w:rsidRPr="00885568" w:rsidRDefault="00D819AC" w:rsidP="00D819AC">
      <w:pPr>
        <w:jc w:val="both"/>
        <w:rPr>
          <w:rFonts w:ascii="Garamond" w:hAnsi="Garamond"/>
          <w:sz w:val="24"/>
          <w:szCs w:val="24"/>
        </w:rPr>
      </w:pPr>
      <w:r w:rsidRPr="00885568">
        <w:rPr>
          <w:rFonts w:ascii="Garamond" w:hAnsi="Garamond"/>
          <w:sz w:val="24"/>
          <w:szCs w:val="24"/>
        </w:rPr>
        <w:lastRenderedPageBreak/>
        <w:t>Teniendo en cuenta que el FDL, es la entidad que adelantará el proceso de contratación ante el SECOPII con los insumos técnicos y financieros aquí acordados, deberá realizar el Análisis del sector en cumplimiento de la normatividad vigente.</w:t>
      </w:r>
    </w:p>
    <w:p w14:paraId="016C59B6" w14:textId="77777777" w:rsidR="00D819AC" w:rsidRPr="00885568" w:rsidRDefault="00D819AC" w:rsidP="00D819AC">
      <w:pPr>
        <w:jc w:val="both"/>
        <w:rPr>
          <w:rFonts w:ascii="Garamond" w:hAnsi="Garamond"/>
          <w:sz w:val="24"/>
          <w:szCs w:val="24"/>
        </w:rPr>
      </w:pPr>
    </w:p>
    <w:p w14:paraId="77DD0C66" w14:textId="2CDAC7D9" w:rsidR="00BA341B" w:rsidRDefault="00D819AC" w:rsidP="00D819AC">
      <w:pPr>
        <w:jc w:val="both"/>
        <w:rPr>
          <w:rFonts w:ascii="Garamond" w:hAnsi="Garamond"/>
          <w:sz w:val="24"/>
          <w:szCs w:val="24"/>
        </w:rPr>
      </w:pPr>
      <w:r w:rsidRPr="00885568">
        <w:rPr>
          <w:rFonts w:ascii="Garamond" w:hAnsi="Garamond"/>
          <w:sz w:val="24"/>
          <w:szCs w:val="24"/>
        </w:rPr>
        <w:t>Desde la Agencia Atenea se han construido una serie de documentos técnicos que brindan elementos que pueden ser de valor para la construcción del mencionado análisis, en este sentido se aporta el Documento de insumo para la construcción del análisis del sector que debe realizar el FDL.</w:t>
      </w:r>
    </w:p>
    <w:p w14:paraId="60318B66" w14:textId="77777777" w:rsidR="00640428" w:rsidRDefault="00640428" w:rsidP="00D819AC">
      <w:pPr>
        <w:jc w:val="both"/>
        <w:rPr>
          <w:rFonts w:ascii="Garamond" w:hAnsi="Garamond"/>
          <w:sz w:val="24"/>
          <w:szCs w:val="24"/>
        </w:rPr>
      </w:pPr>
    </w:p>
    <w:p w14:paraId="077A265E" w14:textId="41FAE62D" w:rsidR="00D819AC" w:rsidRPr="00885568" w:rsidRDefault="00D819AC" w:rsidP="00D819AC">
      <w:pPr>
        <w:jc w:val="both"/>
        <w:rPr>
          <w:rFonts w:ascii="Garamond" w:hAnsi="Garamond"/>
          <w:sz w:val="24"/>
          <w:szCs w:val="24"/>
        </w:rPr>
      </w:pPr>
      <w:r w:rsidRPr="00885568">
        <w:rPr>
          <w:rFonts w:ascii="Garamond" w:hAnsi="Garamond"/>
          <w:sz w:val="24"/>
          <w:szCs w:val="24"/>
        </w:rPr>
        <w:t>En este sentido el FDL deberá tener en cuenta la herramienta financiera de apoyo “calculadora” que, para rea</w:t>
      </w:r>
      <w:r w:rsidR="009B48B2">
        <w:rPr>
          <w:rFonts w:ascii="Garamond" w:hAnsi="Garamond"/>
          <w:sz w:val="24"/>
          <w:szCs w:val="24"/>
        </w:rPr>
        <w:t>lizar el análisis del sector, de</w:t>
      </w:r>
      <w:r w:rsidRPr="00885568">
        <w:rPr>
          <w:rFonts w:ascii="Garamond" w:hAnsi="Garamond"/>
          <w:sz w:val="24"/>
          <w:szCs w:val="24"/>
        </w:rPr>
        <w:t xml:space="preserve"> la herramienta financiera de apoyo “calculadora”, el Documento de insumo para la construcción del análisis del sector que se anexa y las características socioeconómicas del territorio junto con las necesidades descritas en el plan de desarrollo local, entre otros descritos por la Guía de Colombia Compra Eficiente y la normatividad vigente.</w:t>
      </w:r>
    </w:p>
    <w:p w14:paraId="21CB747E" w14:textId="77777777" w:rsidR="0046323A" w:rsidRPr="00885568" w:rsidRDefault="0046323A" w:rsidP="00BE1355">
      <w:pPr>
        <w:pStyle w:val="Standard"/>
        <w:autoSpaceDE w:val="0"/>
        <w:jc w:val="both"/>
        <w:rPr>
          <w:rFonts w:ascii="Garamond" w:hAnsi="Garamond"/>
          <w:color w:val="FF0000"/>
          <w:sz w:val="24"/>
          <w:szCs w:val="24"/>
        </w:rPr>
      </w:pPr>
    </w:p>
    <w:tbl>
      <w:tblPr>
        <w:tblW w:w="9458" w:type="dxa"/>
        <w:tblInd w:w="-5" w:type="dxa"/>
        <w:tblLayout w:type="fixed"/>
        <w:tblCellMar>
          <w:left w:w="10" w:type="dxa"/>
          <w:right w:w="10" w:type="dxa"/>
        </w:tblCellMar>
        <w:tblLook w:val="04A0" w:firstRow="1" w:lastRow="0" w:firstColumn="1" w:lastColumn="0" w:noHBand="0" w:noVBand="1"/>
      </w:tblPr>
      <w:tblGrid>
        <w:gridCol w:w="9458"/>
      </w:tblGrid>
      <w:tr w:rsidR="007C3AB2" w:rsidRPr="00885568" w14:paraId="719380F3" w14:textId="77777777" w:rsidTr="00926937">
        <w:tc>
          <w:tcPr>
            <w:tcW w:w="9458"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EB3AA4D" w14:textId="723AB0D0" w:rsidR="001A475E" w:rsidRPr="00885568" w:rsidRDefault="007C3AB2" w:rsidP="0055486F">
            <w:pPr>
              <w:pStyle w:val="Standard"/>
              <w:numPr>
                <w:ilvl w:val="0"/>
                <w:numId w:val="8"/>
              </w:numPr>
              <w:jc w:val="both"/>
              <w:rPr>
                <w:rFonts w:ascii="Garamond" w:hAnsi="Garamond" w:cs="Arial"/>
                <w:b/>
                <w:color w:val="000000"/>
                <w:sz w:val="24"/>
                <w:szCs w:val="24"/>
              </w:rPr>
            </w:pPr>
            <w:bookmarkStart w:id="15" w:name="_Hlk71629396"/>
            <w:r w:rsidRPr="00885568">
              <w:rPr>
                <w:rFonts w:ascii="Garamond" w:hAnsi="Garamond" w:cs="Arial"/>
                <w:b/>
                <w:color w:val="000000"/>
                <w:sz w:val="24"/>
                <w:szCs w:val="24"/>
              </w:rPr>
              <w:t>SOPORTE QUE PERMITA LA ESTIMACIÓN, TIPIFICACIÓN Y ASIGNACIÓN DE LOS RIESGOS PREVISIBLES INVOLUCRADOS EN LA CONTRATACIÓN.</w:t>
            </w:r>
          </w:p>
          <w:p w14:paraId="1540CA09" w14:textId="683C5C74" w:rsidR="00C7087B" w:rsidRPr="00885568" w:rsidRDefault="00C7087B" w:rsidP="00C7087B">
            <w:pPr>
              <w:pStyle w:val="Standard"/>
              <w:ind w:left="432"/>
              <w:jc w:val="both"/>
              <w:rPr>
                <w:rFonts w:ascii="Garamond" w:hAnsi="Garamond" w:cs="Arial"/>
                <w:b/>
                <w:color w:val="000000"/>
                <w:sz w:val="24"/>
                <w:szCs w:val="24"/>
              </w:rPr>
            </w:pPr>
          </w:p>
        </w:tc>
      </w:tr>
      <w:bookmarkEnd w:id="15"/>
    </w:tbl>
    <w:p w14:paraId="42C6E7A2" w14:textId="77777777" w:rsidR="00D21BA1" w:rsidRPr="00885568" w:rsidRDefault="00D21BA1" w:rsidP="00D21BA1">
      <w:pPr>
        <w:rPr>
          <w:rFonts w:ascii="Garamond" w:hAnsi="Garamond" w:cs="Arial"/>
          <w:color w:val="000000"/>
          <w:sz w:val="24"/>
          <w:szCs w:val="24"/>
        </w:rPr>
      </w:pPr>
    </w:p>
    <w:p w14:paraId="507A4110" w14:textId="77777777" w:rsidR="00433165" w:rsidRPr="00885568" w:rsidRDefault="00433165" w:rsidP="00433165">
      <w:pPr>
        <w:jc w:val="both"/>
        <w:rPr>
          <w:rFonts w:ascii="Garamond" w:hAnsi="Garamond" w:cs="Arial"/>
          <w:sz w:val="24"/>
          <w:szCs w:val="24"/>
        </w:rPr>
      </w:pPr>
      <w:r w:rsidRPr="00885568">
        <w:rPr>
          <w:rFonts w:ascii="Garamond" w:hAnsi="Garamond" w:cs="Arial"/>
          <w:sz w:val="24"/>
          <w:szCs w:val="24"/>
        </w:rPr>
        <w:t>De acuerdo con lo previsto en el Artículo 4º de la Ley 1150 de 2007, el numeral 8 del artículo 2.2.1.1.2.1.3, del Decreto 1082 de 2015 y los lineamientos del manual de riesgos expedido por Colombia Compra Eficiente esta entidad ha definido como riesgos dentro de la ejecución del presente Convenio interadministrativo los riesgos descritos en la matriz de riesgos adjunta la cual hará parte integral del convenio</w:t>
      </w:r>
      <w:r w:rsidRPr="00885568">
        <w:rPr>
          <w:rStyle w:val="Refdenotaalpie"/>
          <w:rFonts w:ascii="Garamond" w:hAnsi="Garamond" w:cs="Arial"/>
          <w:sz w:val="24"/>
          <w:szCs w:val="24"/>
        </w:rPr>
        <w:footnoteReference w:id="1"/>
      </w:r>
      <w:r w:rsidRPr="00885568">
        <w:rPr>
          <w:rFonts w:ascii="Garamond" w:hAnsi="Garamond" w:cs="Arial"/>
          <w:sz w:val="24"/>
          <w:szCs w:val="24"/>
        </w:rPr>
        <w:t>.</w:t>
      </w:r>
    </w:p>
    <w:p w14:paraId="28FC9B4C" w14:textId="688F5FE1" w:rsidR="00813EFA" w:rsidRPr="00030B50" w:rsidRDefault="00433165" w:rsidP="00926937">
      <w:pPr>
        <w:pStyle w:val="NormalWeb"/>
        <w:jc w:val="both"/>
        <w:rPr>
          <w:rFonts w:ascii="Garamond" w:hAnsi="Garamond" w:cs="Arial"/>
          <w:sz w:val="22"/>
          <w:szCs w:val="22"/>
        </w:rPr>
      </w:pPr>
      <w:r w:rsidRPr="00885568">
        <w:rPr>
          <w:rFonts w:ascii="Garamond" w:hAnsi="Garamond" w:cs="Segoe UI"/>
          <w:color w:val="FF0000"/>
          <w:sz w:val="22"/>
          <w:szCs w:val="22"/>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290DB2" w:rsidRPr="00885568" w14:paraId="5A049462" w14:textId="77777777" w:rsidTr="009C7530">
        <w:trPr>
          <w:jc w:val="center"/>
        </w:trPr>
        <w:tc>
          <w:tcPr>
            <w:tcW w:w="9546" w:type="dxa"/>
            <w:shd w:val="clear" w:color="auto" w:fill="E0E0E0"/>
          </w:tcPr>
          <w:p w14:paraId="7DDE7392" w14:textId="34CBB53C" w:rsidR="00A72B81" w:rsidRPr="00885568" w:rsidRDefault="00290DB2" w:rsidP="0055486F">
            <w:pPr>
              <w:pStyle w:val="Prrafodelista"/>
              <w:numPr>
                <w:ilvl w:val="0"/>
                <w:numId w:val="8"/>
              </w:numPr>
              <w:jc w:val="both"/>
              <w:rPr>
                <w:rFonts w:ascii="Garamond" w:hAnsi="Garamond" w:cs="Arial"/>
                <w:b/>
                <w:sz w:val="24"/>
                <w:szCs w:val="24"/>
              </w:rPr>
            </w:pPr>
            <w:r w:rsidRPr="00885568">
              <w:rPr>
                <w:rFonts w:ascii="Garamond" w:hAnsi="Garamond" w:cs="Arial"/>
                <w:b/>
                <w:sz w:val="24"/>
                <w:szCs w:val="24"/>
              </w:rPr>
              <w:t>ANALISIS QUE SUSTENTA LA EXIGENCIA DE</w:t>
            </w:r>
            <w:r w:rsidR="00041BEF" w:rsidRPr="00885568">
              <w:rPr>
                <w:rFonts w:ascii="Garamond" w:hAnsi="Garamond" w:cs="Arial"/>
                <w:b/>
                <w:sz w:val="24"/>
                <w:szCs w:val="24"/>
              </w:rPr>
              <w:t xml:space="preserve"> GARANTÍ</w:t>
            </w:r>
            <w:r w:rsidRPr="00885568">
              <w:rPr>
                <w:rFonts w:ascii="Garamond" w:hAnsi="Garamond" w:cs="Arial"/>
                <w:b/>
                <w:sz w:val="24"/>
                <w:szCs w:val="24"/>
              </w:rPr>
              <w:t>AS</w:t>
            </w:r>
            <w:r w:rsidR="001228B2" w:rsidRPr="00885568">
              <w:rPr>
                <w:rFonts w:ascii="Garamond" w:hAnsi="Garamond" w:cs="Arial"/>
                <w:b/>
                <w:sz w:val="24"/>
                <w:szCs w:val="24"/>
              </w:rPr>
              <w:t>.</w:t>
            </w:r>
            <w:r w:rsidRPr="00885568">
              <w:rPr>
                <w:rFonts w:ascii="Garamond" w:hAnsi="Garamond" w:cs="Arial"/>
                <w:b/>
                <w:sz w:val="24"/>
                <w:szCs w:val="24"/>
              </w:rPr>
              <w:t xml:space="preserve"> </w:t>
            </w:r>
          </w:p>
        </w:tc>
      </w:tr>
    </w:tbl>
    <w:p w14:paraId="7CBD669D" w14:textId="77777777" w:rsidR="005C3820" w:rsidRPr="00885568" w:rsidRDefault="005C3820" w:rsidP="00813EFA">
      <w:pPr>
        <w:jc w:val="both"/>
        <w:rPr>
          <w:rFonts w:ascii="Garamond" w:hAnsi="Garamond" w:cs="Arial"/>
          <w:color w:val="A6A6A6"/>
          <w:sz w:val="24"/>
          <w:szCs w:val="24"/>
        </w:rPr>
      </w:pPr>
    </w:p>
    <w:p w14:paraId="56A8F1D1" w14:textId="2BB6D61F" w:rsidR="00705A2C" w:rsidRPr="00885568" w:rsidRDefault="00000000" w:rsidP="00705A2C">
      <w:pPr>
        <w:jc w:val="both"/>
        <w:rPr>
          <w:rFonts w:ascii="Garamond" w:eastAsia="Garamond" w:hAnsi="Garamond" w:cs="Garamond"/>
          <w:sz w:val="24"/>
          <w:szCs w:val="24"/>
        </w:rPr>
      </w:pPr>
      <w:sdt>
        <w:sdtPr>
          <w:tag w:val="goog_rdk_187"/>
          <w:id w:val="1526606427"/>
        </w:sdtPr>
        <w:sdtContent>
          <w:r w:rsidR="00705A2C" w:rsidRPr="00885568">
            <w:rPr>
              <w:rFonts w:ascii="Garamond" w:eastAsia="Garamond" w:hAnsi="Garamond" w:cs="Garamond"/>
              <w:sz w:val="24"/>
              <w:szCs w:val="24"/>
            </w:rPr>
            <w:t xml:space="preserve">Para la futura contratación no se requerirá la constitución de un Contrato de Seguro contenido en una Póliza y/o Garantía Bancaria y/o Patrimonio Autónomo, conforme a lo previsto artículo 7 de la ley 1150 de 2007; Las garantías no serán obligatorias en los contratos de empréstito, en los interadministrativos, en los de seguro y en los contratos cuyo valor sea inferior al 10% de la menor cuantía a que se refiere esta ley, caso en el cual corresponderá a la entidad determinar la necesidad de exigirla, atendiendo a la naturaleza del objeto del contrato y a la forma de pago, así como en los demás que señale el reglamento. </w:t>
          </w:r>
        </w:sdtContent>
      </w:sdt>
    </w:p>
    <w:sdt>
      <w:sdtPr>
        <w:tag w:val="goog_rdk_192"/>
        <w:id w:val="-755202400"/>
      </w:sdtPr>
      <w:sdtContent>
        <w:p w14:paraId="2A51BC83" w14:textId="07CD9AE2" w:rsidR="00705A2C" w:rsidRPr="00885568" w:rsidRDefault="00000000" w:rsidP="00705A2C">
          <w:pPr>
            <w:jc w:val="both"/>
            <w:rPr>
              <w:rFonts w:ascii="Garamond" w:eastAsia="Garamond" w:hAnsi="Garamond" w:cs="Garamond"/>
              <w:sz w:val="24"/>
              <w:szCs w:val="24"/>
            </w:rPr>
          </w:pPr>
          <w:sdt>
            <w:sdtPr>
              <w:tag w:val="goog_rdk_190"/>
              <w:id w:val="174934999"/>
            </w:sdtPr>
            <w:sdtContent>
              <w:sdt>
                <w:sdtPr>
                  <w:tag w:val="goog_rdk_191"/>
                  <w:id w:val="-1845625595"/>
                  <w:showingPlcHdr/>
                </w:sdtPr>
                <w:sdtContent>
                  <w:r w:rsidR="00B87E41" w:rsidRPr="00885568">
                    <w:t xml:space="preserve">     </w:t>
                  </w:r>
                </w:sdtContent>
              </w:sdt>
            </w:sdtContent>
          </w:sdt>
        </w:p>
      </w:sdtContent>
    </w:sdt>
    <w:sdt>
      <w:sdtPr>
        <w:tag w:val="goog_rdk_195"/>
        <w:id w:val="2138069748"/>
      </w:sdtPr>
      <w:sdtContent>
        <w:p w14:paraId="1CB9C269" w14:textId="77777777" w:rsidR="00705A2C" w:rsidRPr="00885568" w:rsidRDefault="00000000" w:rsidP="00705A2C">
          <w:pPr>
            <w:jc w:val="both"/>
            <w:rPr>
              <w:rFonts w:ascii="Garamond" w:eastAsia="Garamond" w:hAnsi="Garamond" w:cs="Garamond"/>
              <w:sz w:val="24"/>
              <w:szCs w:val="24"/>
            </w:rPr>
          </w:pPr>
          <w:sdt>
            <w:sdtPr>
              <w:tag w:val="goog_rdk_193"/>
              <w:id w:val="-936669646"/>
            </w:sdtPr>
            <w:sdtContent>
              <w:sdt>
                <w:sdtPr>
                  <w:tag w:val="goog_rdk_194"/>
                  <w:id w:val="309680705"/>
                </w:sdtPr>
                <w:sdtContent>
                  <w:r w:rsidR="00705A2C" w:rsidRPr="00885568">
                    <w:rPr>
                      <w:rFonts w:ascii="Garamond" w:eastAsia="Garamond" w:hAnsi="Garamond" w:cs="Garamond"/>
                      <w:sz w:val="24"/>
                      <w:szCs w:val="24"/>
                    </w:rPr>
                    <w:t xml:space="preserve">A su vez el Decreto 1082 de 2015, establece la no obligatoriedad de la garantía en los siguientes casos: </w:t>
                  </w:r>
                </w:sdtContent>
              </w:sdt>
            </w:sdtContent>
          </w:sdt>
        </w:p>
      </w:sdtContent>
    </w:sdt>
    <w:sdt>
      <w:sdtPr>
        <w:tag w:val="goog_rdk_198"/>
        <w:id w:val="1572622163"/>
      </w:sdtPr>
      <w:sdtContent>
        <w:p w14:paraId="1D64014D" w14:textId="29836C61" w:rsidR="00705A2C" w:rsidRPr="00885568" w:rsidRDefault="00000000" w:rsidP="00705A2C">
          <w:pPr>
            <w:jc w:val="both"/>
            <w:rPr>
              <w:rFonts w:ascii="Garamond" w:eastAsia="Garamond" w:hAnsi="Garamond" w:cs="Garamond"/>
              <w:sz w:val="24"/>
              <w:szCs w:val="24"/>
            </w:rPr>
          </w:pPr>
          <w:sdt>
            <w:sdtPr>
              <w:tag w:val="goog_rdk_196"/>
              <w:id w:val="538331229"/>
            </w:sdtPr>
            <w:sdtContent>
              <w:sdt>
                <w:sdtPr>
                  <w:tag w:val="goog_rdk_197"/>
                  <w:id w:val="-1525556672"/>
                  <w:showingPlcHdr/>
                </w:sdtPr>
                <w:sdtContent>
                  <w:r w:rsidR="00B87E41" w:rsidRPr="00885568">
                    <w:t xml:space="preserve">     </w:t>
                  </w:r>
                </w:sdtContent>
              </w:sdt>
            </w:sdtContent>
          </w:sdt>
        </w:p>
      </w:sdtContent>
    </w:sdt>
    <w:sdt>
      <w:sdtPr>
        <w:tag w:val="goog_rdk_201"/>
        <w:id w:val="1707222227"/>
      </w:sdtPr>
      <w:sdtContent>
        <w:p w14:paraId="2092A192" w14:textId="77777777" w:rsidR="00705A2C" w:rsidRPr="00885568" w:rsidRDefault="00000000" w:rsidP="00705A2C">
          <w:pPr>
            <w:jc w:val="both"/>
            <w:rPr>
              <w:rFonts w:ascii="Garamond" w:eastAsia="Garamond" w:hAnsi="Garamond" w:cs="Garamond"/>
              <w:sz w:val="24"/>
              <w:szCs w:val="24"/>
            </w:rPr>
          </w:pPr>
          <w:sdt>
            <w:sdtPr>
              <w:tag w:val="goog_rdk_199"/>
              <w:id w:val="685645026"/>
            </w:sdtPr>
            <w:sdtContent>
              <w:sdt>
                <w:sdtPr>
                  <w:tag w:val="goog_rdk_200"/>
                  <w:id w:val="1816908158"/>
                </w:sdtPr>
                <w:sdtContent>
                  <w:r w:rsidR="00705A2C" w:rsidRPr="00885568">
                    <w:rPr>
                      <w:rFonts w:ascii="Garamond" w:eastAsia="Garamond" w:hAnsi="Garamond" w:cs="Garamond"/>
                      <w:sz w:val="24"/>
                      <w:szCs w:val="24"/>
                    </w:rPr>
                    <w:t xml:space="preserve">Las órdenes de compra derivadas de los acuerdos marco de precios, a menos de que estos dispongan lo contrario </w:t>
                  </w:r>
                </w:sdtContent>
              </w:sdt>
            </w:sdtContent>
          </w:sdt>
        </w:p>
      </w:sdtContent>
    </w:sdt>
    <w:sdt>
      <w:sdtPr>
        <w:tag w:val="goog_rdk_204"/>
        <w:id w:val="2114008901"/>
      </w:sdtPr>
      <w:sdtContent>
        <w:p w14:paraId="344D132A" w14:textId="690E2221" w:rsidR="00705A2C" w:rsidRPr="00885568" w:rsidRDefault="00000000" w:rsidP="00705A2C">
          <w:pPr>
            <w:jc w:val="both"/>
            <w:rPr>
              <w:rFonts w:ascii="Garamond" w:eastAsia="Garamond" w:hAnsi="Garamond" w:cs="Garamond"/>
              <w:sz w:val="24"/>
              <w:szCs w:val="24"/>
            </w:rPr>
          </w:pPr>
          <w:sdt>
            <w:sdtPr>
              <w:tag w:val="goog_rdk_202"/>
              <w:id w:val="1458297577"/>
            </w:sdtPr>
            <w:sdtContent>
              <w:sdt>
                <w:sdtPr>
                  <w:tag w:val="goog_rdk_203"/>
                  <w:id w:val="-189841023"/>
                  <w:showingPlcHdr/>
                </w:sdtPr>
                <w:sdtContent>
                  <w:r w:rsidR="00B87E41" w:rsidRPr="00885568">
                    <w:t xml:space="preserve">     </w:t>
                  </w:r>
                </w:sdtContent>
              </w:sdt>
            </w:sdtContent>
          </w:sdt>
        </w:p>
      </w:sdtContent>
    </w:sdt>
    <w:sdt>
      <w:sdtPr>
        <w:tag w:val="goog_rdk_207"/>
        <w:id w:val="1166680651"/>
      </w:sdtPr>
      <w:sdtContent>
        <w:p w14:paraId="0BE503C9" w14:textId="223A73A3" w:rsidR="00705A2C" w:rsidRPr="00885568" w:rsidRDefault="00000000" w:rsidP="00705A2C">
          <w:pPr>
            <w:jc w:val="both"/>
            <w:rPr>
              <w:rFonts w:ascii="Garamond" w:eastAsia="Garamond" w:hAnsi="Garamond" w:cs="Garamond"/>
              <w:sz w:val="24"/>
              <w:szCs w:val="24"/>
            </w:rPr>
          </w:pPr>
          <w:sdt>
            <w:sdtPr>
              <w:tag w:val="goog_rdk_205"/>
              <w:id w:val="-757200502"/>
            </w:sdtPr>
            <w:sdtContent>
              <w:r w:rsidR="00705A2C" w:rsidRPr="00885568">
                <w:rPr>
                  <w:rFonts w:ascii="Garamond" w:eastAsia="Garamond" w:hAnsi="Garamond" w:cs="Garamond"/>
                  <w:sz w:val="24"/>
                  <w:szCs w:val="24"/>
                </w:rPr>
                <w:t xml:space="preserve">En la adquisición en grandes superficies En la contratación directa, señalando que la justificación para su exigibilidad debe estar contenida en los estudios y documentos previos El Decreto reglamentario 1510 de 2013 establece en el artículo 77. No obligatoriedad de garantías. </w:t>
              </w:r>
            </w:sdtContent>
          </w:sdt>
        </w:p>
      </w:sdtContent>
    </w:sdt>
    <w:sdt>
      <w:sdtPr>
        <w:tag w:val="goog_rdk_210"/>
        <w:id w:val="-1206482451"/>
      </w:sdtPr>
      <w:sdtContent>
        <w:p w14:paraId="6BCEDB1B" w14:textId="2EB3F8C4" w:rsidR="00705A2C" w:rsidRPr="00885568" w:rsidRDefault="00000000" w:rsidP="00705A2C">
          <w:pPr>
            <w:jc w:val="both"/>
            <w:rPr>
              <w:rFonts w:ascii="Garamond" w:eastAsia="Garamond" w:hAnsi="Garamond" w:cs="Garamond"/>
              <w:sz w:val="24"/>
              <w:szCs w:val="24"/>
            </w:rPr>
          </w:pPr>
          <w:sdt>
            <w:sdtPr>
              <w:tag w:val="goog_rdk_208"/>
              <w:id w:val="-1746794045"/>
            </w:sdtPr>
            <w:sdtContent>
              <w:sdt>
                <w:sdtPr>
                  <w:tag w:val="goog_rdk_209"/>
                  <w:id w:val="-279412825"/>
                  <w:showingPlcHdr/>
                </w:sdtPr>
                <w:sdtContent>
                  <w:r w:rsidR="00B87E41" w:rsidRPr="00885568">
                    <w:t xml:space="preserve">     </w:t>
                  </w:r>
                </w:sdtContent>
              </w:sdt>
            </w:sdtContent>
          </w:sdt>
        </w:p>
      </w:sdtContent>
    </w:sdt>
    <w:sdt>
      <w:sdtPr>
        <w:tag w:val="goog_rdk_213"/>
        <w:id w:val="-834149795"/>
      </w:sdtPr>
      <w:sdtContent>
        <w:p w14:paraId="79B897A3" w14:textId="77777777" w:rsidR="00705A2C" w:rsidRPr="00885568" w:rsidRDefault="00000000" w:rsidP="00705A2C">
          <w:pPr>
            <w:jc w:val="both"/>
            <w:rPr>
              <w:rFonts w:ascii="Garamond" w:eastAsia="Garamond" w:hAnsi="Garamond" w:cs="Garamond"/>
              <w:sz w:val="24"/>
              <w:szCs w:val="24"/>
            </w:rPr>
          </w:pPr>
          <w:sdt>
            <w:sdtPr>
              <w:tag w:val="goog_rdk_211"/>
              <w:id w:val="869575026"/>
            </w:sdtPr>
            <w:sdtContent>
              <w:sdt>
                <w:sdtPr>
                  <w:tag w:val="goog_rdk_212"/>
                  <w:id w:val="-1329053051"/>
                </w:sdtPr>
                <w:sdtContent>
                  <w:r w:rsidR="00705A2C" w:rsidRPr="00885568">
                    <w:rPr>
                      <w:rFonts w:ascii="Garamond" w:eastAsia="Garamond" w:hAnsi="Garamond" w:cs="Garamond"/>
                      <w:sz w:val="24"/>
                      <w:szCs w:val="24"/>
                    </w:rPr>
                    <w:t xml:space="preserve">En la contratación directa la exigencia de garantías no es obligatoria y la justificación para exigirlas o no debe estar en los estudios y documentos previos y que en el proceso de selección de mínima cuantía y en la adquisición en grandes superficies, la entidad estatal es libre de exigir o no garantías. </w:t>
                  </w:r>
                </w:sdtContent>
              </w:sdt>
            </w:sdtContent>
          </w:sdt>
        </w:p>
      </w:sdtContent>
    </w:sdt>
    <w:sdt>
      <w:sdtPr>
        <w:tag w:val="goog_rdk_216"/>
        <w:id w:val="-913245006"/>
      </w:sdtPr>
      <w:sdtContent>
        <w:p w14:paraId="399E39BB" w14:textId="33D66A58" w:rsidR="00705A2C" w:rsidRPr="00885568" w:rsidRDefault="00000000" w:rsidP="00705A2C">
          <w:pPr>
            <w:jc w:val="both"/>
            <w:rPr>
              <w:rFonts w:ascii="Garamond" w:eastAsia="Garamond" w:hAnsi="Garamond" w:cs="Garamond"/>
              <w:sz w:val="24"/>
              <w:szCs w:val="24"/>
            </w:rPr>
          </w:pPr>
          <w:sdt>
            <w:sdtPr>
              <w:tag w:val="goog_rdk_214"/>
              <w:id w:val="-1216045290"/>
            </w:sdtPr>
            <w:sdtContent>
              <w:sdt>
                <w:sdtPr>
                  <w:tag w:val="goog_rdk_215"/>
                  <w:id w:val="2099435639"/>
                  <w:showingPlcHdr/>
                </w:sdtPr>
                <w:sdtContent>
                  <w:r w:rsidR="00B87E41" w:rsidRPr="00885568">
                    <w:t xml:space="preserve">     </w:t>
                  </w:r>
                </w:sdtContent>
              </w:sdt>
            </w:sdtContent>
          </w:sdt>
        </w:p>
      </w:sdtContent>
    </w:sdt>
    <w:sdt>
      <w:sdtPr>
        <w:tag w:val="goog_rdk_219"/>
        <w:id w:val="-358271886"/>
      </w:sdtPr>
      <w:sdtContent>
        <w:p w14:paraId="06199BF8" w14:textId="322B48D4" w:rsidR="00705A2C" w:rsidRPr="00885568" w:rsidRDefault="00000000" w:rsidP="00705A2C">
          <w:pPr>
            <w:jc w:val="both"/>
            <w:rPr>
              <w:rFonts w:ascii="Garamond" w:eastAsia="Garamond" w:hAnsi="Garamond" w:cs="Garamond"/>
              <w:sz w:val="24"/>
              <w:szCs w:val="24"/>
            </w:rPr>
          </w:pPr>
          <w:sdt>
            <w:sdtPr>
              <w:tag w:val="goog_rdk_217"/>
              <w:id w:val="2081251146"/>
            </w:sdtPr>
            <w:sdtContent>
              <w:r w:rsidR="00705A2C" w:rsidRPr="00885568">
                <w:rPr>
                  <w:rFonts w:ascii="Garamond" w:eastAsia="Garamond" w:hAnsi="Garamond" w:cs="Garamond"/>
                  <w:sz w:val="24"/>
                  <w:szCs w:val="24"/>
                </w:rPr>
                <w:t xml:space="preserve">En este orden de ideas, las garantías no son obligatorias, sino facultativas, en los siguientes casos: Contratos de empréstito </w:t>
              </w:r>
            </w:sdtContent>
          </w:sdt>
        </w:p>
      </w:sdtContent>
    </w:sdt>
    <w:sdt>
      <w:sdtPr>
        <w:tag w:val="goog_rdk_222"/>
        <w:id w:val="-1005432231"/>
      </w:sdtPr>
      <w:sdtContent>
        <w:p w14:paraId="1F813530" w14:textId="77777777" w:rsidR="00705A2C" w:rsidRPr="00885568" w:rsidRDefault="00000000" w:rsidP="00705A2C">
          <w:pPr>
            <w:jc w:val="both"/>
            <w:rPr>
              <w:rFonts w:ascii="Garamond" w:eastAsia="Garamond" w:hAnsi="Garamond" w:cs="Garamond"/>
              <w:sz w:val="24"/>
              <w:szCs w:val="24"/>
            </w:rPr>
          </w:pPr>
          <w:sdt>
            <w:sdtPr>
              <w:tag w:val="goog_rdk_220"/>
              <w:id w:val="-1451313442"/>
            </w:sdtPr>
            <w:sdtContent>
              <w:sdt>
                <w:sdtPr>
                  <w:tag w:val="goog_rdk_221"/>
                  <w:id w:val="1164128789"/>
                </w:sdtPr>
                <w:sdtContent>
                  <w:r w:rsidR="00705A2C" w:rsidRPr="00885568">
                    <w:rPr>
                      <w:rFonts w:ascii="Garamond" w:eastAsia="Garamond" w:hAnsi="Garamond" w:cs="Garamond"/>
                      <w:sz w:val="24"/>
                      <w:szCs w:val="24"/>
                    </w:rPr>
                    <w:t xml:space="preserve">Contratos interadministrativos </w:t>
                  </w:r>
                </w:sdtContent>
              </w:sdt>
            </w:sdtContent>
          </w:sdt>
        </w:p>
      </w:sdtContent>
    </w:sdt>
    <w:sdt>
      <w:sdtPr>
        <w:tag w:val="goog_rdk_225"/>
        <w:id w:val="-1419324429"/>
      </w:sdtPr>
      <w:sdtContent>
        <w:p w14:paraId="3AE23FD7" w14:textId="3C3B1E51" w:rsidR="00705A2C" w:rsidRPr="00885568" w:rsidRDefault="00000000" w:rsidP="00705A2C">
          <w:pPr>
            <w:jc w:val="both"/>
            <w:rPr>
              <w:rFonts w:ascii="Garamond" w:eastAsia="Garamond" w:hAnsi="Garamond" w:cs="Garamond"/>
              <w:sz w:val="24"/>
              <w:szCs w:val="24"/>
            </w:rPr>
          </w:pPr>
          <w:sdt>
            <w:sdtPr>
              <w:tag w:val="goog_rdk_223"/>
              <w:id w:val="-1663154582"/>
            </w:sdtPr>
            <w:sdtContent>
              <w:r w:rsidR="00705A2C" w:rsidRPr="00885568">
                <w:rPr>
                  <w:rFonts w:ascii="Garamond" w:eastAsia="Garamond" w:hAnsi="Garamond" w:cs="Garamond"/>
                  <w:sz w:val="24"/>
                  <w:szCs w:val="24"/>
                </w:rPr>
                <w:t xml:space="preserve">Contratos de seguro Contratos cuyo valor sea inferior al 10% de la menor cuantía a que se refiere la ley 1150 de 2007. </w:t>
              </w:r>
            </w:sdtContent>
          </w:sdt>
        </w:p>
      </w:sdtContent>
    </w:sdt>
    <w:p w14:paraId="1DDCF6A2" w14:textId="7B22461B" w:rsidR="00705A2C" w:rsidRPr="00885568" w:rsidRDefault="00000000" w:rsidP="00290DB2">
      <w:pPr>
        <w:jc w:val="both"/>
      </w:pPr>
      <w:sdt>
        <w:sdtPr>
          <w:tag w:val="goog_rdk_226"/>
          <w:id w:val="2113938877"/>
        </w:sdtPr>
        <w:sdtContent>
          <w:r w:rsidR="00705A2C" w:rsidRPr="00885568">
            <w:rPr>
              <w:rFonts w:ascii="Garamond" w:eastAsia="Garamond" w:hAnsi="Garamond" w:cs="Garamond"/>
              <w:sz w:val="24"/>
              <w:szCs w:val="24"/>
            </w:rPr>
            <w:t>Contratación Directa</w:t>
          </w:r>
        </w:sdtContent>
      </w:sdt>
      <w:sdt>
        <w:sdtPr>
          <w:tag w:val="goog_rdk_228"/>
          <w:id w:val="396480070"/>
          <w:showingPlcHdr/>
        </w:sdtPr>
        <w:sdtContent>
          <w:r w:rsidR="00705A2C" w:rsidRPr="00885568">
            <w:t xml:space="preserve">     </w:t>
          </w:r>
        </w:sdtContent>
      </w:sdt>
    </w:p>
    <w:p w14:paraId="5CC5867F" w14:textId="77777777" w:rsidR="00705A2C" w:rsidRPr="00885568" w:rsidRDefault="00705A2C" w:rsidP="00290DB2">
      <w:pPr>
        <w:jc w:val="both"/>
      </w:pPr>
    </w:p>
    <w:p w14:paraId="2BE388DB" w14:textId="77777777" w:rsidR="00290DB2" w:rsidRPr="00885568" w:rsidRDefault="00290DB2" w:rsidP="00290DB2">
      <w:pPr>
        <w:jc w:val="both"/>
        <w:rPr>
          <w:rFonts w:ascii="Garamond" w:eastAsia="Batang" w:hAnsi="Garamond"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290DB2" w:rsidRPr="00885568" w14:paraId="2A17ADC1" w14:textId="77777777" w:rsidTr="009C7530">
        <w:trPr>
          <w:jc w:val="center"/>
        </w:trPr>
        <w:tc>
          <w:tcPr>
            <w:tcW w:w="9546" w:type="dxa"/>
            <w:shd w:val="clear" w:color="auto" w:fill="E0E0E0"/>
          </w:tcPr>
          <w:p w14:paraId="53060C6E" w14:textId="46BC5184" w:rsidR="00A72B81" w:rsidRPr="00885568" w:rsidRDefault="00C7087B" w:rsidP="00C7087B">
            <w:pPr>
              <w:spacing w:before="100" w:beforeAutospacing="1" w:after="100" w:afterAutospacing="1"/>
              <w:jc w:val="both"/>
              <w:rPr>
                <w:rFonts w:ascii="Garamond" w:hAnsi="Garamond" w:cs="Arial"/>
                <w:b/>
                <w:sz w:val="24"/>
                <w:szCs w:val="24"/>
                <w:lang w:val="es-ES"/>
              </w:rPr>
            </w:pPr>
            <w:r w:rsidRPr="00885568">
              <w:rPr>
                <w:rFonts w:ascii="Garamond" w:hAnsi="Garamond" w:cs="Arial"/>
                <w:b/>
                <w:sz w:val="24"/>
                <w:szCs w:val="24"/>
              </w:rPr>
              <w:t xml:space="preserve">7. </w:t>
            </w:r>
            <w:r w:rsidR="00041BEF" w:rsidRPr="00885568">
              <w:rPr>
                <w:rFonts w:ascii="Garamond" w:hAnsi="Garamond" w:cs="Arial"/>
                <w:b/>
                <w:sz w:val="24"/>
                <w:szCs w:val="24"/>
                <w:lang w:val="es-ES"/>
              </w:rPr>
              <w:t>INDICACIÓ</w:t>
            </w:r>
            <w:r w:rsidR="00290DB2" w:rsidRPr="00885568">
              <w:rPr>
                <w:rFonts w:ascii="Garamond" w:hAnsi="Garamond" w:cs="Arial"/>
                <w:b/>
                <w:sz w:val="24"/>
                <w:szCs w:val="24"/>
                <w:lang w:val="es-ES"/>
              </w:rPr>
              <w:t>N DE SI LA CONTRATACI</w:t>
            </w:r>
            <w:r w:rsidR="00B52435" w:rsidRPr="00885568">
              <w:rPr>
                <w:rFonts w:ascii="Garamond" w:hAnsi="Garamond" w:cs="Arial"/>
                <w:b/>
                <w:sz w:val="24"/>
                <w:szCs w:val="24"/>
                <w:lang w:val="es-ES"/>
              </w:rPr>
              <w:t>Ó</w:t>
            </w:r>
            <w:r w:rsidR="00290DB2" w:rsidRPr="00885568">
              <w:rPr>
                <w:rFonts w:ascii="Garamond" w:hAnsi="Garamond" w:cs="Arial"/>
                <w:b/>
                <w:sz w:val="24"/>
                <w:szCs w:val="24"/>
                <w:lang w:val="es-ES"/>
              </w:rPr>
              <w:t>N EST</w:t>
            </w:r>
            <w:r w:rsidR="00B52435" w:rsidRPr="00885568">
              <w:rPr>
                <w:rFonts w:ascii="Garamond" w:hAnsi="Garamond" w:cs="Arial"/>
                <w:b/>
                <w:sz w:val="24"/>
                <w:szCs w:val="24"/>
                <w:lang w:val="es-ES"/>
              </w:rPr>
              <w:t>Á</w:t>
            </w:r>
            <w:r w:rsidR="00290DB2" w:rsidRPr="00885568">
              <w:rPr>
                <w:rFonts w:ascii="Garamond" w:hAnsi="Garamond" w:cs="Arial"/>
                <w:b/>
                <w:sz w:val="24"/>
                <w:szCs w:val="24"/>
                <w:lang w:val="es-ES"/>
              </w:rPr>
              <w:t xml:space="preserve"> COBIJADA POR UN ACUERDO INTERNACIONAL O UN TRATADO DE LIBRE COMERCIO VIGENTE PARA COLOMBIA.</w:t>
            </w:r>
          </w:p>
        </w:tc>
      </w:tr>
    </w:tbl>
    <w:p w14:paraId="054F9CA4" w14:textId="77777777" w:rsidR="0089009C" w:rsidRPr="00885568" w:rsidRDefault="0089009C" w:rsidP="0089009C">
      <w:pPr>
        <w:pStyle w:val="Standard"/>
        <w:jc w:val="both"/>
        <w:rPr>
          <w:rFonts w:ascii="Garamond" w:hAnsi="Garamond" w:cs="Garamond"/>
          <w:sz w:val="24"/>
          <w:szCs w:val="24"/>
          <w:lang w:val="es-ES"/>
        </w:rPr>
      </w:pPr>
    </w:p>
    <w:p w14:paraId="69719E20" w14:textId="46E8AD7D" w:rsidR="00F54C29" w:rsidRPr="00885568" w:rsidRDefault="00F54C29" w:rsidP="0089009C">
      <w:pPr>
        <w:pStyle w:val="Standard"/>
        <w:jc w:val="both"/>
        <w:rPr>
          <w:rFonts w:ascii="Garamond" w:hAnsi="Garamond" w:cs="Garamond"/>
          <w:sz w:val="24"/>
          <w:szCs w:val="24"/>
          <w:lang w:val="es-ES"/>
        </w:rPr>
      </w:pPr>
      <w:r w:rsidRPr="00885568">
        <w:rPr>
          <w:rFonts w:ascii="Garamond" w:hAnsi="Garamond" w:cs="Garamond"/>
          <w:sz w:val="24"/>
          <w:szCs w:val="24"/>
          <w:lang w:val="es-ES"/>
        </w:rPr>
        <w:t xml:space="preserve">La presente contratación </w:t>
      </w:r>
      <w:r w:rsidRPr="00885568">
        <w:rPr>
          <w:rFonts w:ascii="Garamond" w:hAnsi="Garamond" w:cs="Garamond"/>
          <w:b/>
          <w:sz w:val="24"/>
          <w:szCs w:val="24"/>
          <w:lang w:val="es-ES"/>
        </w:rPr>
        <w:t xml:space="preserve">NO </w:t>
      </w:r>
      <w:r w:rsidRPr="00885568">
        <w:rPr>
          <w:rFonts w:ascii="Garamond" w:hAnsi="Garamond" w:cs="Garamond"/>
          <w:sz w:val="24"/>
          <w:szCs w:val="24"/>
          <w:lang w:val="es-ES"/>
        </w:rPr>
        <w:t>est</w:t>
      </w:r>
      <w:r w:rsidR="00B52435" w:rsidRPr="00885568">
        <w:rPr>
          <w:rFonts w:ascii="Garamond" w:hAnsi="Garamond" w:cs="Garamond"/>
          <w:sz w:val="24"/>
          <w:szCs w:val="24"/>
          <w:lang w:val="es-ES"/>
        </w:rPr>
        <w:t>á</w:t>
      </w:r>
      <w:r w:rsidRPr="00885568">
        <w:rPr>
          <w:rFonts w:ascii="Garamond" w:hAnsi="Garamond" w:cs="Garamond"/>
          <w:sz w:val="24"/>
          <w:szCs w:val="24"/>
          <w:lang w:val="es-ES"/>
        </w:rPr>
        <w:t xml:space="preserve"> cobijada por un acuerdo internacional o un tratado de libre comercio vigente para Colombia.</w:t>
      </w:r>
    </w:p>
    <w:p w14:paraId="73E67C4D" w14:textId="77777777" w:rsidR="0089009C" w:rsidRPr="00885568" w:rsidRDefault="0089009C" w:rsidP="0089009C">
      <w:pPr>
        <w:pStyle w:val="Standard"/>
        <w:jc w:val="both"/>
        <w:rPr>
          <w:rFonts w:ascii="Garamond" w:hAnsi="Garamond" w:cs="Garamond"/>
          <w:sz w:val="24"/>
          <w:szCs w:val="24"/>
          <w:lang w:val="es-ES"/>
        </w:rPr>
      </w:pPr>
    </w:p>
    <w:sdt>
      <w:sdtPr>
        <w:tag w:val="goog_rdk_250"/>
        <w:id w:val="-1128697756"/>
      </w:sdtPr>
      <w:sdtContent>
        <w:p w14:paraId="3B4DD454" w14:textId="75E0E5BC" w:rsidR="00B52435" w:rsidRPr="00885568" w:rsidRDefault="00B52435" w:rsidP="00B52435">
          <w:pPr>
            <w:pBdr>
              <w:top w:val="nil"/>
              <w:left w:val="nil"/>
              <w:bottom w:val="nil"/>
              <w:right w:val="nil"/>
              <w:between w:val="nil"/>
            </w:pBdr>
            <w:jc w:val="both"/>
            <w:rPr>
              <w:rFonts w:ascii="Garamond" w:eastAsia="Garamond" w:hAnsi="Garamond" w:cs="Garamond"/>
              <w:color w:val="000000"/>
              <w:sz w:val="24"/>
              <w:szCs w:val="24"/>
            </w:rPr>
          </w:pPr>
          <w:r w:rsidRPr="00885568">
            <w:rPr>
              <w:rFonts w:ascii="Garamond" w:eastAsia="Garamond" w:hAnsi="Garamond" w:cs="Garamond"/>
              <w:b/>
              <w:color w:val="000000"/>
              <w:sz w:val="24"/>
              <w:szCs w:val="24"/>
            </w:rPr>
            <w:t>Las Entidades Estatales que adelanten sus Procesos de Contratación bajo el régimen del Estatuto General de la Administración Pública, no deben hacer este análisis en las modalidades de selección de contratación directa</w:t>
          </w:r>
          <w:r w:rsidRPr="00885568">
            <w:rPr>
              <w:rFonts w:ascii="Garamond" w:eastAsia="Garamond" w:hAnsi="Garamond" w:cs="Garamond"/>
              <w:color w:val="000000"/>
              <w:sz w:val="24"/>
              <w:szCs w:val="24"/>
            </w:rPr>
            <w:t xml:space="preserve"> o para la </w:t>
          </w:r>
          <w:r w:rsidR="00B045E9">
            <w:rPr>
              <w:rFonts w:ascii="Garamond" w:eastAsia="Garamond" w:hAnsi="Garamond" w:cs="Garamond"/>
              <w:color w:val="000000"/>
              <w:sz w:val="24"/>
              <w:szCs w:val="24"/>
            </w:rPr>
            <w:t>enajenación de bienes del Estado.</w:t>
          </w:r>
        </w:p>
      </w:sdtContent>
    </w:sdt>
    <w:sdt>
      <w:sdtPr>
        <w:tag w:val="goog_rdk_253"/>
        <w:id w:val="-1027096826"/>
      </w:sdtPr>
      <w:sdtContent>
        <w:p w14:paraId="33D7770E" w14:textId="7B0EB81D" w:rsidR="00B52435" w:rsidRPr="00885568" w:rsidRDefault="00000000" w:rsidP="00B52435">
          <w:pPr>
            <w:pBdr>
              <w:top w:val="nil"/>
              <w:left w:val="nil"/>
              <w:bottom w:val="nil"/>
              <w:right w:val="nil"/>
              <w:between w:val="nil"/>
            </w:pBdr>
            <w:jc w:val="both"/>
            <w:rPr>
              <w:rFonts w:ascii="Garamond" w:eastAsia="Garamond" w:hAnsi="Garamond" w:cs="Garamond"/>
              <w:color w:val="000000"/>
              <w:sz w:val="24"/>
              <w:szCs w:val="24"/>
            </w:rPr>
          </w:pPr>
          <w:sdt>
            <w:sdtPr>
              <w:tag w:val="goog_rdk_251"/>
              <w:id w:val="-1338153223"/>
            </w:sdtPr>
            <w:sdtContent>
              <w:sdt>
                <w:sdtPr>
                  <w:tag w:val="goog_rdk_252"/>
                  <w:id w:val="227888180"/>
                  <w:showingPlcHdr/>
                </w:sdtPr>
                <w:sdtContent>
                  <w:r w:rsidR="00D075CF" w:rsidRPr="00885568">
                    <w:t xml:space="preserve">     </w:t>
                  </w:r>
                </w:sdtContent>
              </w:sdt>
            </w:sdtContent>
          </w:sdt>
        </w:p>
      </w:sdtContent>
    </w:sdt>
    <w:p w14:paraId="6BFF1413" w14:textId="77777777" w:rsidR="00B52435" w:rsidRPr="00885568" w:rsidRDefault="00000000" w:rsidP="00B52435">
      <w:pPr>
        <w:pBdr>
          <w:top w:val="nil"/>
          <w:left w:val="nil"/>
          <w:bottom w:val="nil"/>
          <w:right w:val="nil"/>
          <w:between w:val="nil"/>
        </w:pBdr>
        <w:jc w:val="both"/>
        <w:rPr>
          <w:rFonts w:ascii="Garamond" w:eastAsia="Garamond" w:hAnsi="Garamond" w:cs="Garamond"/>
          <w:color w:val="000000"/>
          <w:sz w:val="24"/>
          <w:szCs w:val="24"/>
        </w:rPr>
      </w:pPr>
      <w:sdt>
        <w:sdtPr>
          <w:tag w:val="goog_rdk_254"/>
          <w:id w:val="-1341385885"/>
        </w:sdtPr>
        <w:sdtContent>
          <w:r w:rsidR="00B52435" w:rsidRPr="00885568">
            <w:rPr>
              <w:rFonts w:ascii="Garamond" w:eastAsia="Garamond" w:hAnsi="Garamond" w:cs="Garamond"/>
              <w:color w:val="000000"/>
              <w:sz w:val="24"/>
              <w:szCs w:val="24"/>
            </w:rPr>
            <w:t>Esto por cuanto, en el caso de la contratación directa, al no existir una pluralidad de oferentes no hay necesidad de analizar si un Acuerdo Comercial aplica o no,</w:t>
          </w:r>
        </w:sdtContent>
      </w:sdt>
      <w:r w:rsidR="00B52435" w:rsidRPr="00885568">
        <w:rPr>
          <w:rFonts w:ascii="Garamond" w:eastAsia="Garamond" w:hAnsi="Garamond" w:cs="Garamond"/>
          <w:color w:val="000000"/>
          <w:sz w:val="24"/>
          <w:szCs w:val="24"/>
        </w:rPr>
        <w:t xml:space="preserve"> </w:t>
      </w:r>
      <w:sdt>
        <w:sdtPr>
          <w:tag w:val="goog_rdk_255"/>
          <w:id w:val="213471572"/>
        </w:sdtPr>
        <w:sdtContent>
          <w:r w:rsidR="00B52435" w:rsidRPr="00885568">
            <w:rPr>
              <w:rFonts w:ascii="Garamond" w:eastAsia="Garamond" w:hAnsi="Garamond" w:cs="Garamond"/>
              <w:color w:val="000000"/>
              <w:sz w:val="24"/>
              <w:szCs w:val="24"/>
            </w:rPr>
            <w:t>pues en estos procesos de contratación no se otorga el puntaje de la Ley 816 de 2003 ni se aplican los factores de desempate</w:t>
          </w:r>
        </w:sdtContent>
      </w:sdt>
      <w:r w:rsidR="00B52435" w:rsidRPr="00885568">
        <w:rPr>
          <w:rFonts w:ascii="Garamond" w:eastAsia="Garamond" w:hAnsi="Garamond" w:cs="Garamond"/>
          <w:color w:val="000000"/>
          <w:sz w:val="24"/>
          <w:szCs w:val="24"/>
        </w:rPr>
        <w:t xml:space="preserve"> de la Ley 2069 de 2020. Por otro lado, al ser la enajenación de bienes del Estado un proceso de selección abreviada realizado a través de venta directa en sobre cerrado o en pública subasta, no hay una aplicación del puntaje de la Ley 816 de 2003 ni de los factores de desempate de la Ley 2069 de 2020.</w:t>
      </w:r>
    </w:p>
    <w:p w14:paraId="0238A201" w14:textId="77777777" w:rsidR="0089009C" w:rsidRPr="00885568" w:rsidRDefault="0089009C" w:rsidP="007C3AB2">
      <w:pPr>
        <w:pStyle w:val="Standard"/>
        <w:jc w:val="both"/>
        <w:rPr>
          <w:rFonts w:ascii="Garamond" w:hAnsi="Garamond" w:cs="Garamond"/>
          <w:sz w:val="18"/>
          <w:szCs w:val="18"/>
        </w:rPr>
      </w:pPr>
    </w:p>
    <w:p w14:paraId="78688422" w14:textId="77777777" w:rsidR="008827D0" w:rsidRPr="00885568" w:rsidRDefault="008827D0" w:rsidP="008827D0">
      <w:pPr>
        <w:pStyle w:val="Standard"/>
        <w:jc w:val="both"/>
        <w:rPr>
          <w:rFonts w:ascii="Garamond" w:hAnsi="Garamond"/>
          <w:color w:val="FF0000"/>
          <w:sz w:val="16"/>
          <w:szCs w:val="16"/>
          <w:lang w:val="es-MX"/>
        </w:rPr>
      </w:pP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A0" w:firstRow="1" w:lastRow="0" w:firstColumn="1" w:lastColumn="0" w:noHBand="0" w:noVBand="0"/>
      </w:tblPr>
      <w:tblGrid>
        <w:gridCol w:w="9462"/>
      </w:tblGrid>
      <w:tr w:rsidR="00775163" w:rsidRPr="00885568" w14:paraId="4DBA6CED" w14:textId="77777777" w:rsidTr="007C3AB2">
        <w:trPr>
          <w:jc w:val="center"/>
        </w:trPr>
        <w:tc>
          <w:tcPr>
            <w:tcW w:w="9462" w:type="dxa"/>
            <w:shd w:val="clear" w:color="auto" w:fill="E0E0E0"/>
          </w:tcPr>
          <w:p w14:paraId="5CA1FED7" w14:textId="3DA5515C" w:rsidR="002F2E2F" w:rsidRPr="00885568" w:rsidRDefault="004C30FD" w:rsidP="004C30FD">
            <w:pPr>
              <w:jc w:val="both"/>
              <w:rPr>
                <w:rFonts w:ascii="Garamond" w:hAnsi="Garamond" w:cs="Arial"/>
                <w:b/>
                <w:sz w:val="24"/>
                <w:szCs w:val="24"/>
              </w:rPr>
            </w:pPr>
            <w:r w:rsidRPr="00885568">
              <w:rPr>
                <w:rFonts w:ascii="Garamond" w:hAnsi="Garamond" w:cs="Arial"/>
                <w:b/>
                <w:sz w:val="24"/>
                <w:szCs w:val="24"/>
              </w:rPr>
              <w:t xml:space="preserve">8. </w:t>
            </w:r>
            <w:r w:rsidR="00775163" w:rsidRPr="00885568">
              <w:rPr>
                <w:rFonts w:ascii="Garamond" w:hAnsi="Garamond" w:cs="Arial"/>
                <w:b/>
                <w:sz w:val="24"/>
                <w:szCs w:val="24"/>
              </w:rPr>
              <w:t>CONDICIONES GENERALES DEL CONTRATO</w:t>
            </w:r>
            <w:r w:rsidR="009D50BE" w:rsidRPr="00885568">
              <w:rPr>
                <w:rFonts w:ascii="Garamond" w:hAnsi="Garamond" w:cs="Arial"/>
                <w:b/>
                <w:sz w:val="24"/>
                <w:szCs w:val="24"/>
              </w:rPr>
              <w:t>.</w:t>
            </w:r>
          </w:p>
        </w:tc>
      </w:tr>
    </w:tbl>
    <w:p w14:paraId="03F18C61" w14:textId="77777777" w:rsidR="00775163" w:rsidRPr="00885568" w:rsidRDefault="00775163" w:rsidP="00AF00D3">
      <w:pPr>
        <w:jc w:val="both"/>
        <w:rPr>
          <w:rFonts w:ascii="Garamond" w:hAnsi="Garamond"/>
          <w:b/>
        </w:rPr>
      </w:pPr>
    </w:p>
    <w:p w14:paraId="34F27A46" w14:textId="4BAE6DDE" w:rsidR="006B0A4F" w:rsidRPr="00885568" w:rsidRDefault="006B0A4F" w:rsidP="00AF00D3">
      <w:pPr>
        <w:jc w:val="both"/>
        <w:outlineLvl w:val="0"/>
        <w:rPr>
          <w:rFonts w:ascii="Garamond" w:hAnsi="Garamond" w:cs="Arial"/>
          <w:b/>
          <w:sz w:val="24"/>
          <w:szCs w:val="24"/>
        </w:rPr>
      </w:pPr>
      <w:r w:rsidRPr="00885568">
        <w:rPr>
          <w:rFonts w:ascii="Garamond" w:hAnsi="Garamond" w:cs="Arial"/>
          <w:b/>
          <w:sz w:val="24"/>
          <w:szCs w:val="24"/>
        </w:rPr>
        <w:t xml:space="preserve">8.1. </w:t>
      </w:r>
      <w:r w:rsidR="00775163" w:rsidRPr="00885568">
        <w:rPr>
          <w:rFonts w:ascii="Garamond" w:hAnsi="Garamond" w:cs="Arial"/>
          <w:b/>
          <w:sz w:val="24"/>
          <w:szCs w:val="24"/>
        </w:rPr>
        <w:t>PLAZO</w:t>
      </w:r>
    </w:p>
    <w:p w14:paraId="5F73BC1A" w14:textId="77777777" w:rsidR="00775163" w:rsidRPr="00885568" w:rsidRDefault="00775163" w:rsidP="00AF00D3">
      <w:pPr>
        <w:jc w:val="both"/>
        <w:outlineLvl w:val="0"/>
        <w:rPr>
          <w:rFonts w:ascii="Garamond" w:hAnsi="Garamond" w:cs="Arial"/>
          <w:sz w:val="24"/>
          <w:szCs w:val="24"/>
        </w:rPr>
      </w:pPr>
    </w:p>
    <w:p w14:paraId="73C816D1" w14:textId="4369BEFB" w:rsidR="007B2C9B" w:rsidRPr="00885568" w:rsidRDefault="007B2C9B" w:rsidP="007B2C9B">
      <w:pPr>
        <w:jc w:val="both"/>
        <w:rPr>
          <w:rFonts w:ascii="Garamond" w:hAnsi="Garamond" w:cs="Arial"/>
          <w:b/>
          <w:bCs/>
          <w:sz w:val="24"/>
          <w:szCs w:val="24"/>
          <w:lang w:val="es-ES"/>
        </w:rPr>
      </w:pPr>
      <w:r w:rsidRPr="00885568">
        <w:rPr>
          <w:rFonts w:ascii="Garamond" w:hAnsi="Garamond" w:cs="Arial"/>
          <w:sz w:val="24"/>
          <w:szCs w:val="24"/>
        </w:rPr>
        <w:t>El plazo de ejecución del presente convenio interadministrativo se contabilizará desde la suscripci</w:t>
      </w:r>
      <w:r w:rsidR="00D075CF" w:rsidRPr="00885568">
        <w:rPr>
          <w:rFonts w:ascii="Garamond" w:hAnsi="Garamond" w:cs="Arial"/>
          <w:sz w:val="24"/>
          <w:szCs w:val="24"/>
        </w:rPr>
        <w:t>ón del acta de inicio hasta el 30 de junio de 2032</w:t>
      </w:r>
      <w:r w:rsidRPr="00885568">
        <w:rPr>
          <w:rFonts w:ascii="Garamond" w:hAnsi="Garamond" w:cs="Arial"/>
          <w:sz w:val="24"/>
          <w:szCs w:val="24"/>
        </w:rPr>
        <w:t>, previo cumplimiento de los requisitos de perfeccionamiento y ejecución.</w:t>
      </w:r>
    </w:p>
    <w:p w14:paraId="04C01A74" w14:textId="28CE1573" w:rsidR="00CB0103" w:rsidRPr="00885568" w:rsidRDefault="00CB0103" w:rsidP="0005266A">
      <w:pPr>
        <w:jc w:val="both"/>
        <w:rPr>
          <w:rFonts w:ascii="Garamond" w:hAnsi="Garamond" w:cs="Arial"/>
          <w:b/>
          <w:sz w:val="18"/>
          <w:szCs w:val="18"/>
        </w:rPr>
      </w:pPr>
    </w:p>
    <w:p w14:paraId="2E30BCF8" w14:textId="3C750546" w:rsidR="006B0A4F" w:rsidRPr="00885568" w:rsidRDefault="00012687" w:rsidP="00AF00D3">
      <w:pPr>
        <w:jc w:val="both"/>
        <w:rPr>
          <w:rFonts w:ascii="Garamond" w:hAnsi="Garamond" w:cs="Arial"/>
          <w:b/>
          <w:sz w:val="24"/>
          <w:szCs w:val="24"/>
        </w:rPr>
      </w:pPr>
      <w:r w:rsidRPr="00885568">
        <w:rPr>
          <w:rFonts w:ascii="Garamond" w:hAnsi="Garamond" w:cs="Arial"/>
          <w:b/>
          <w:sz w:val="24"/>
          <w:szCs w:val="24"/>
        </w:rPr>
        <w:t>8</w:t>
      </w:r>
      <w:r w:rsidR="006B0A4F" w:rsidRPr="00885568">
        <w:rPr>
          <w:rFonts w:ascii="Garamond" w:hAnsi="Garamond" w:cs="Arial"/>
          <w:b/>
          <w:sz w:val="24"/>
          <w:szCs w:val="24"/>
        </w:rPr>
        <w:t xml:space="preserve">.2. </w:t>
      </w:r>
      <w:r w:rsidR="003D504B" w:rsidRPr="00885568">
        <w:rPr>
          <w:rFonts w:ascii="Garamond" w:hAnsi="Garamond" w:cs="Arial"/>
          <w:b/>
          <w:sz w:val="24"/>
          <w:szCs w:val="24"/>
        </w:rPr>
        <w:t xml:space="preserve">VALOR </w:t>
      </w:r>
    </w:p>
    <w:p w14:paraId="5A7F1C6C" w14:textId="77777777" w:rsidR="006B0A4F" w:rsidRPr="00885568" w:rsidRDefault="006B0A4F" w:rsidP="00AF00D3">
      <w:pPr>
        <w:jc w:val="both"/>
        <w:rPr>
          <w:rFonts w:ascii="Garamond" w:hAnsi="Garamond"/>
          <w:b/>
          <w:sz w:val="24"/>
          <w:szCs w:val="24"/>
        </w:rPr>
      </w:pPr>
    </w:p>
    <w:p w14:paraId="08D9F5B6" w14:textId="21CA012B" w:rsidR="00FD3BAB" w:rsidRPr="00885568" w:rsidRDefault="00A72B81" w:rsidP="00A72B81">
      <w:pPr>
        <w:jc w:val="both"/>
        <w:rPr>
          <w:rFonts w:ascii="Garamond" w:hAnsi="Garamond" w:cs="Arial"/>
          <w:b/>
          <w:sz w:val="24"/>
          <w:szCs w:val="24"/>
        </w:rPr>
      </w:pPr>
      <w:r w:rsidRPr="00885568">
        <w:rPr>
          <w:rFonts w:ascii="Garamond" w:hAnsi="Garamond" w:cs="Arial"/>
          <w:b/>
          <w:sz w:val="24"/>
          <w:szCs w:val="24"/>
        </w:rPr>
        <w:t xml:space="preserve">8.2.1. </w:t>
      </w:r>
      <w:r w:rsidR="00FD3BAB" w:rsidRPr="00885568">
        <w:rPr>
          <w:rFonts w:ascii="Garamond" w:hAnsi="Garamond" w:cs="Arial"/>
          <w:b/>
          <w:sz w:val="24"/>
          <w:szCs w:val="24"/>
        </w:rPr>
        <w:t>Aporte del fondo de desarrol</w:t>
      </w:r>
      <w:r w:rsidR="00B26DBC" w:rsidRPr="00885568">
        <w:rPr>
          <w:rFonts w:ascii="Garamond" w:hAnsi="Garamond" w:cs="Arial"/>
          <w:b/>
          <w:sz w:val="24"/>
          <w:szCs w:val="24"/>
        </w:rPr>
        <w:t>lo loc</w:t>
      </w:r>
      <w:r w:rsidR="00640428">
        <w:rPr>
          <w:rFonts w:ascii="Garamond" w:hAnsi="Garamond" w:cs="Arial"/>
          <w:b/>
          <w:sz w:val="24"/>
          <w:szCs w:val="24"/>
        </w:rPr>
        <w:t>al: el FDL de Los Mártires</w:t>
      </w:r>
    </w:p>
    <w:p w14:paraId="34864F72" w14:textId="77777777" w:rsidR="00A72B81" w:rsidRPr="00885568" w:rsidRDefault="00A72B81" w:rsidP="00A72B81">
      <w:pPr>
        <w:jc w:val="both"/>
        <w:rPr>
          <w:rFonts w:ascii="Garamond" w:hAnsi="Garamond" w:cs="Arial"/>
          <w:sz w:val="22"/>
          <w:szCs w:val="22"/>
        </w:rPr>
      </w:pPr>
    </w:p>
    <w:p w14:paraId="1F60ADCD" w14:textId="00585236" w:rsidR="00F26CBC" w:rsidRPr="00FA42AB" w:rsidRDefault="00F26CBC" w:rsidP="00A72B81">
      <w:pPr>
        <w:jc w:val="both"/>
        <w:rPr>
          <w:rFonts w:ascii="Garamond" w:hAnsi="Garamond" w:cs="Arial"/>
          <w:b/>
          <w:sz w:val="24"/>
          <w:szCs w:val="24"/>
        </w:rPr>
      </w:pPr>
      <w:r w:rsidRPr="00885568">
        <w:rPr>
          <w:rFonts w:ascii="Garamond" w:hAnsi="Garamond" w:cs="Arial"/>
          <w:sz w:val="24"/>
          <w:szCs w:val="24"/>
        </w:rPr>
        <w:t xml:space="preserve">El aporte total de las entidades que suscriben el presente convenio es </w:t>
      </w:r>
      <w:r w:rsidR="00E139D1" w:rsidRPr="00FA42AB">
        <w:rPr>
          <w:rFonts w:ascii="Garamond" w:hAnsi="Garamond" w:cs="Arial"/>
          <w:b/>
          <w:sz w:val="24"/>
          <w:szCs w:val="24"/>
        </w:rPr>
        <w:t>TRES MIL QUINIENTOS SESENTA MILLONES DE PESOS ($)3.560.000.000 M/CTE.</w:t>
      </w:r>
    </w:p>
    <w:p w14:paraId="085336BE" w14:textId="77777777" w:rsidR="00F26CBC" w:rsidRPr="00885568" w:rsidRDefault="00F26CBC" w:rsidP="00A72B81">
      <w:pPr>
        <w:jc w:val="both"/>
        <w:rPr>
          <w:rFonts w:ascii="Garamond" w:hAnsi="Garamond" w:cs="Arial"/>
          <w:sz w:val="22"/>
          <w:szCs w:val="22"/>
          <w:lang w:val="es-ES"/>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0"/>
        <w:gridCol w:w="1005"/>
        <w:gridCol w:w="2631"/>
        <w:gridCol w:w="1276"/>
        <w:gridCol w:w="1873"/>
        <w:gridCol w:w="2409"/>
      </w:tblGrid>
      <w:tr w:rsidR="00A72B81" w:rsidRPr="00885568" w14:paraId="53854957" w14:textId="77777777" w:rsidTr="00865432">
        <w:trPr>
          <w:trHeight w:val="691"/>
        </w:trPr>
        <w:tc>
          <w:tcPr>
            <w:tcW w:w="14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E7D9B36" w14:textId="77777777" w:rsidR="00A72B81" w:rsidRPr="00885568" w:rsidRDefault="00A72B81" w:rsidP="00865432">
            <w:pPr>
              <w:jc w:val="center"/>
              <w:rPr>
                <w:rFonts w:ascii="Garamond" w:hAnsi="Garamond" w:cstheme="minorBidi"/>
                <w:b/>
                <w:bCs/>
                <w:sz w:val="24"/>
                <w:szCs w:val="24"/>
                <w:lang w:eastAsia="es-CO"/>
              </w:rPr>
            </w:pPr>
            <w:r w:rsidRPr="00885568">
              <w:rPr>
                <w:rFonts w:ascii="Garamond" w:hAnsi="Garamond" w:cstheme="minorBidi"/>
                <w:b/>
                <w:bCs/>
                <w:sz w:val="24"/>
                <w:szCs w:val="24"/>
                <w:lang w:eastAsia="es-CO"/>
              </w:rPr>
              <w:t>Localidad</w:t>
            </w:r>
          </w:p>
        </w:tc>
        <w:tc>
          <w:tcPr>
            <w:tcW w:w="2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B82B8E" w14:textId="77777777" w:rsidR="00A72B81" w:rsidRPr="00885568" w:rsidRDefault="00A72B81" w:rsidP="00865432">
            <w:pPr>
              <w:jc w:val="center"/>
              <w:rPr>
                <w:rFonts w:ascii="Garamond" w:hAnsi="Garamond" w:cstheme="minorBidi"/>
                <w:b/>
                <w:bCs/>
                <w:sz w:val="24"/>
                <w:szCs w:val="24"/>
                <w:lang w:eastAsia="es-CO"/>
              </w:rPr>
            </w:pPr>
            <w:r w:rsidRPr="00885568">
              <w:rPr>
                <w:rFonts w:ascii="Garamond" w:hAnsi="Garamond" w:cstheme="minorBidi"/>
                <w:b/>
                <w:bCs/>
                <w:sz w:val="24"/>
                <w:szCs w:val="24"/>
                <w:lang w:eastAsia="es-CO"/>
              </w:rPr>
              <w:t>Nombre del proyecto de inversión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B6B9E42" w14:textId="77777777" w:rsidR="00A72B81" w:rsidRPr="00885568" w:rsidRDefault="00A72B81" w:rsidP="00865432">
            <w:pPr>
              <w:jc w:val="center"/>
              <w:rPr>
                <w:rFonts w:ascii="Garamond" w:hAnsi="Garamond" w:cstheme="minorBidi"/>
                <w:b/>
                <w:bCs/>
                <w:sz w:val="24"/>
                <w:szCs w:val="24"/>
                <w:lang w:eastAsia="es-CO"/>
              </w:rPr>
            </w:pPr>
            <w:r w:rsidRPr="00885568">
              <w:rPr>
                <w:rFonts w:ascii="Garamond" w:hAnsi="Garamond" w:cstheme="minorBidi"/>
                <w:b/>
                <w:bCs/>
                <w:sz w:val="24"/>
                <w:szCs w:val="24"/>
                <w:lang w:eastAsia="es-CO"/>
              </w:rPr>
              <w:t>Número de proyecto de inversión</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A3223D" w14:textId="6E3DD6DB" w:rsidR="00A72B81" w:rsidRPr="00885568" w:rsidRDefault="00B26DBC" w:rsidP="00865432">
            <w:pPr>
              <w:jc w:val="center"/>
              <w:rPr>
                <w:rFonts w:ascii="Garamond" w:hAnsi="Garamond" w:cstheme="minorBidi"/>
                <w:b/>
                <w:bCs/>
                <w:sz w:val="24"/>
                <w:szCs w:val="24"/>
                <w:lang w:eastAsia="es-CO"/>
              </w:rPr>
            </w:pPr>
            <w:r w:rsidRPr="00885568">
              <w:rPr>
                <w:rFonts w:ascii="Garamond" w:hAnsi="Garamond" w:cstheme="minorBidi"/>
                <w:b/>
                <w:bCs/>
                <w:sz w:val="24"/>
                <w:szCs w:val="24"/>
                <w:lang w:eastAsia="es-CO"/>
              </w:rPr>
              <w:t>Meta 2025</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657D50" w14:textId="34E06F27" w:rsidR="00A72B81" w:rsidRPr="00885568" w:rsidRDefault="00B26DBC" w:rsidP="00865432">
            <w:pPr>
              <w:jc w:val="center"/>
              <w:rPr>
                <w:rFonts w:ascii="Garamond" w:hAnsi="Garamond" w:cstheme="minorBidi"/>
                <w:b/>
                <w:bCs/>
                <w:sz w:val="24"/>
                <w:szCs w:val="24"/>
                <w:lang w:eastAsia="es-CO"/>
              </w:rPr>
            </w:pPr>
            <w:r w:rsidRPr="00885568">
              <w:rPr>
                <w:rFonts w:ascii="Garamond" w:hAnsi="Garamond" w:cstheme="minorBidi"/>
                <w:b/>
                <w:bCs/>
                <w:sz w:val="24"/>
                <w:szCs w:val="24"/>
                <w:lang w:eastAsia="es-CO"/>
              </w:rPr>
              <w:t>Recursos 2025</w:t>
            </w:r>
          </w:p>
        </w:tc>
      </w:tr>
      <w:tr w:rsidR="00A72B81" w:rsidRPr="00885568" w14:paraId="36CDD0AB" w14:textId="77777777" w:rsidTr="00865432">
        <w:trPr>
          <w:trHeight w:val="528"/>
        </w:trPr>
        <w:tc>
          <w:tcPr>
            <w:tcW w:w="400" w:type="dxa"/>
            <w:vMerge w:val="restart"/>
            <w:tcBorders>
              <w:top w:val="single" w:sz="4" w:space="0" w:color="auto"/>
              <w:left w:val="single" w:sz="4" w:space="0" w:color="auto"/>
              <w:bottom w:val="single" w:sz="4" w:space="0" w:color="auto"/>
              <w:right w:val="single" w:sz="4" w:space="0" w:color="auto"/>
            </w:tcBorders>
            <w:noWrap/>
            <w:vAlign w:val="center"/>
            <w:hideMark/>
          </w:tcPr>
          <w:p w14:paraId="3B5B824C" w14:textId="7A08F96A" w:rsidR="00A72B81" w:rsidRPr="00885568" w:rsidRDefault="003979E9" w:rsidP="00865432">
            <w:pPr>
              <w:jc w:val="center"/>
              <w:rPr>
                <w:rFonts w:ascii="Garamond" w:hAnsi="Garamond" w:cstheme="minorHAnsi"/>
                <w:sz w:val="24"/>
                <w:szCs w:val="24"/>
                <w:lang w:eastAsia="es-CO"/>
              </w:rPr>
            </w:pPr>
            <w:r>
              <w:rPr>
                <w:rFonts w:ascii="Garamond" w:hAnsi="Garamond" w:cstheme="minorHAnsi"/>
                <w:sz w:val="24"/>
                <w:szCs w:val="24"/>
                <w:lang w:eastAsia="es-CO"/>
              </w:rPr>
              <w:t>14</w:t>
            </w:r>
          </w:p>
        </w:tc>
        <w:tc>
          <w:tcPr>
            <w:tcW w:w="1005" w:type="dxa"/>
            <w:vMerge w:val="restart"/>
            <w:tcBorders>
              <w:top w:val="single" w:sz="4" w:space="0" w:color="auto"/>
              <w:left w:val="single" w:sz="4" w:space="0" w:color="auto"/>
              <w:bottom w:val="single" w:sz="4" w:space="0" w:color="auto"/>
              <w:right w:val="single" w:sz="4" w:space="0" w:color="auto"/>
            </w:tcBorders>
            <w:noWrap/>
            <w:vAlign w:val="center"/>
            <w:hideMark/>
          </w:tcPr>
          <w:p w14:paraId="40A26278" w14:textId="650D43CE" w:rsidR="00A72B81" w:rsidRPr="00885568" w:rsidRDefault="003979E9" w:rsidP="00865432">
            <w:pPr>
              <w:jc w:val="center"/>
              <w:rPr>
                <w:rFonts w:ascii="Garamond" w:hAnsi="Garamond" w:cstheme="minorHAnsi"/>
                <w:sz w:val="24"/>
                <w:szCs w:val="24"/>
                <w:lang w:eastAsia="es-CO"/>
              </w:rPr>
            </w:pPr>
            <w:r>
              <w:rPr>
                <w:rFonts w:ascii="Garamond" w:hAnsi="Garamond" w:cstheme="minorHAnsi"/>
                <w:sz w:val="24"/>
                <w:szCs w:val="24"/>
                <w:lang w:eastAsia="es-CO"/>
              </w:rPr>
              <w:t>Los Mártires</w:t>
            </w:r>
          </w:p>
        </w:tc>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A86CA9" w14:textId="34AC29DE" w:rsidR="00A72B81" w:rsidRPr="00885568" w:rsidRDefault="000A61EF" w:rsidP="00865432">
            <w:pPr>
              <w:jc w:val="center"/>
              <w:rPr>
                <w:rFonts w:ascii="Garamond" w:eastAsia="Calibri" w:hAnsi="Garamond" w:cstheme="minorHAnsi"/>
                <w:sz w:val="24"/>
                <w:szCs w:val="24"/>
                <w:lang w:eastAsia="es-CO"/>
              </w:rPr>
            </w:pPr>
            <w:r>
              <w:rPr>
                <w:rFonts w:ascii="Garamond" w:eastAsia="Calibri" w:hAnsi="Garamond" w:cstheme="minorHAnsi"/>
                <w:sz w:val="24"/>
                <w:szCs w:val="24"/>
                <w:lang w:eastAsia="es-CO"/>
              </w:rPr>
              <w:t>Mártires confía y le apuesta a su potencial</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485D6BC8" w14:textId="14228B41" w:rsidR="00A72B81" w:rsidRPr="00885568" w:rsidRDefault="000A61EF" w:rsidP="00865432">
            <w:pPr>
              <w:jc w:val="center"/>
              <w:rPr>
                <w:rFonts w:ascii="Garamond" w:hAnsi="Garamond" w:cstheme="minorHAnsi"/>
                <w:sz w:val="24"/>
                <w:szCs w:val="24"/>
                <w:lang w:eastAsia="es-CO"/>
              </w:rPr>
            </w:pPr>
            <w:r>
              <w:rPr>
                <w:rFonts w:ascii="Garamond" w:hAnsi="Garamond" w:cstheme="minorHAnsi"/>
                <w:sz w:val="24"/>
                <w:szCs w:val="24"/>
                <w:lang w:eastAsia="es-CO"/>
              </w:rPr>
              <w:t>2749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42FCB012" w14:textId="77777777" w:rsidR="00A72B81" w:rsidRPr="00885568" w:rsidRDefault="00A72B81" w:rsidP="00865432">
            <w:pPr>
              <w:jc w:val="center"/>
              <w:rPr>
                <w:rFonts w:ascii="Garamond" w:hAnsi="Garamond" w:cstheme="minorHAnsi"/>
                <w:sz w:val="24"/>
                <w:szCs w:val="24"/>
                <w:lang w:eastAsia="es-CO"/>
              </w:rPr>
            </w:pPr>
            <w:r w:rsidRPr="00885568">
              <w:rPr>
                <w:rFonts w:ascii="Garamond" w:hAnsi="Garamond" w:cstheme="minorHAnsi"/>
                <w:sz w:val="24"/>
                <w:szCs w:val="24"/>
                <w:lang w:eastAsia="es-CO"/>
              </w:rPr>
              <w:t xml:space="preserve">ACCESO </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72FB8943" w14:textId="22F8CEC5" w:rsidR="00A72B81" w:rsidRPr="00885568" w:rsidRDefault="003979E9" w:rsidP="00865432">
            <w:pPr>
              <w:jc w:val="center"/>
              <w:rPr>
                <w:rFonts w:ascii="Garamond" w:eastAsia="Calibri" w:hAnsi="Garamond" w:cstheme="minorHAnsi"/>
                <w:sz w:val="24"/>
                <w:szCs w:val="24"/>
                <w:lang w:eastAsia="en-US"/>
              </w:rPr>
            </w:pPr>
            <w:r>
              <w:rPr>
                <w:rFonts w:ascii="Garamond" w:hAnsi="Garamond" w:cstheme="minorHAnsi"/>
                <w:sz w:val="24"/>
                <w:szCs w:val="24"/>
              </w:rPr>
              <w:t>$</w:t>
            </w:r>
            <w:r w:rsidR="000A61EF">
              <w:rPr>
                <w:rFonts w:ascii="Garamond" w:eastAsia="Calibri" w:hAnsi="Garamond" w:cs="Calibri"/>
                <w:kern w:val="2"/>
                <w:sz w:val="22"/>
                <w:szCs w:val="22"/>
                <w:lang w:val="es-ES" w:eastAsia="en-US"/>
                <w14:ligatures w14:val="standardContextual"/>
              </w:rPr>
              <w:t>2.826.000.000</w:t>
            </w:r>
          </w:p>
        </w:tc>
      </w:tr>
      <w:tr w:rsidR="00A72B81" w:rsidRPr="00885568" w14:paraId="4072BAF7" w14:textId="77777777" w:rsidTr="00865432">
        <w:trPr>
          <w:trHeight w:val="5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AF762" w14:textId="77777777" w:rsidR="00A72B81" w:rsidRPr="00885568" w:rsidRDefault="00A72B81" w:rsidP="00865432">
            <w:pPr>
              <w:spacing w:line="256" w:lineRule="auto"/>
              <w:rPr>
                <w:rFonts w:ascii="Garamond" w:hAnsi="Garamond" w:cstheme="minorHAnsi"/>
                <w:sz w:val="24"/>
                <w:szCs w:val="24"/>
                <w:lang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141C" w14:textId="77777777" w:rsidR="00A72B81" w:rsidRPr="00885568" w:rsidRDefault="00A72B81" w:rsidP="00865432">
            <w:pPr>
              <w:spacing w:line="256" w:lineRule="auto"/>
              <w:rPr>
                <w:rFonts w:ascii="Garamond" w:hAnsi="Garamond" w:cstheme="minorHAnsi"/>
                <w:sz w:val="24"/>
                <w:szCs w:val="24"/>
                <w:lang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D6823" w14:textId="77777777" w:rsidR="00A72B81" w:rsidRPr="00885568" w:rsidRDefault="00A72B81" w:rsidP="00865432">
            <w:pPr>
              <w:spacing w:line="256" w:lineRule="auto"/>
              <w:rPr>
                <w:rFonts w:ascii="Garamond" w:eastAsia="Calibri" w:hAnsi="Garamond" w:cstheme="minorHAnsi"/>
                <w:sz w:val="24"/>
                <w:szCs w:val="24"/>
                <w:lang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0EB1E" w14:textId="77777777" w:rsidR="00A72B81" w:rsidRPr="00885568" w:rsidRDefault="00A72B81" w:rsidP="00865432">
            <w:pPr>
              <w:spacing w:line="256" w:lineRule="auto"/>
              <w:rPr>
                <w:rFonts w:ascii="Garamond" w:hAnsi="Garamond" w:cstheme="minorHAnsi"/>
                <w:sz w:val="24"/>
                <w:szCs w:val="24"/>
                <w:lang w:eastAsia="es-CO"/>
              </w:rPr>
            </w:pP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08C705" w14:textId="77777777" w:rsidR="00A72B81" w:rsidRPr="00885568" w:rsidRDefault="00A72B81" w:rsidP="00865432">
            <w:pPr>
              <w:jc w:val="center"/>
              <w:rPr>
                <w:rFonts w:ascii="Garamond" w:hAnsi="Garamond" w:cstheme="minorHAnsi"/>
                <w:sz w:val="24"/>
                <w:szCs w:val="24"/>
                <w:lang w:eastAsia="es-CO"/>
              </w:rPr>
            </w:pPr>
            <w:r w:rsidRPr="00885568">
              <w:rPr>
                <w:rFonts w:ascii="Garamond" w:hAnsi="Garamond" w:cstheme="minorHAnsi"/>
                <w:sz w:val="24"/>
                <w:szCs w:val="24"/>
                <w:lang w:eastAsia="es-CO"/>
              </w:rPr>
              <w:t xml:space="preserve">PERMANENCIA </w:t>
            </w:r>
          </w:p>
        </w:tc>
        <w:tc>
          <w:tcPr>
            <w:tcW w:w="2409" w:type="dxa"/>
            <w:tcBorders>
              <w:top w:val="single" w:sz="4" w:space="0" w:color="auto"/>
              <w:left w:val="single" w:sz="4" w:space="0" w:color="auto"/>
              <w:bottom w:val="single" w:sz="4" w:space="0" w:color="auto"/>
              <w:right w:val="single" w:sz="4" w:space="0" w:color="auto"/>
            </w:tcBorders>
            <w:noWrap/>
            <w:vAlign w:val="bottom"/>
            <w:hideMark/>
          </w:tcPr>
          <w:p w14:paraId="1CC804F4" w14:textId="3E9DA895" w:rsidR="00A72B81" w:rsidRPr="00885568" w:rsidRDefault="00A72B81" w:rsidP="00865432">
            <w:pPr>
              <w:jc w:val="center"/>
              <w:rPr>
                <w:rFonts w:ascii="Garamond" w:eastAsia="Calibri" w:hAnsi="Garamond" w:cstheme="minorHAnsi"/>
                <w:sz w:val="24"/>
                <w:szCs w:val="24"/>
                <w:lang w:eastAsia="es-CO"/>
              </w:rPr>
            </w:pPr>
            <w:r w:rsidRPr="00885568">
              <w:rPr>
                <w:rFonts w:ascii="Garamond" w:hAnsi="Garamond" w:cstheme="minorHAnsi"/>
                <w:sz w:val="24"/>
                <w:szCs w:val="24"/>
                <w:lang w:eastAsia="es-CO"/>
              </w:rPr>
              <w:t>$</w:t>
            </w:r>
            <w:r w:rsidR="000A61EF">
              <w:rPr>
                <w:rFonts w:ascii="Garamond" w:hAnsi="Garamond" w:cstheme="minorHAnsi"/>
                <w:sz w:val="24"/>
                <w:szCs w:val="24"/>
                <w:lang w:eastAsia="es-CO"/>
              </w:rPr>
              <w:t>739.000.000</w:t>
            </w:r>
          </w:p>
        </w:tc>
      </w:tr>
    </w:tbl>
    <w:p w14:paraId="6C46EFE2" w14:textId="77777777" w:rsidR="00A72B81" w:rsidRPr="00885568" w:rsidRDefault="00A72B81" w:rsidP="00A72B81">
      <w:pPr>
        <w:jc w:val="both"/>
        <w:rPr>
          <w:rFonts w:ascii="Garamond" w:hAnsi="Garamond" w:cs="Arial"/>
          <w:b/>
          <w:lang w:val="es-ES"/>
        </w:rPr>
      </w:pPr>
    </w:p>
    <w:p w14:paraId="14C093C8" w14:textId="77777777" w:rsidR="00A72B81" w:rsidRPr="00885568" w:rsidRDefault="00A72B81" w:rsidP="00A72B81">
      <w:pPr>
        <w:jc w:val="both"/>
        <w:rPr>
          <w:rFonts w:ascii="Garamond" w:hAnsi="Garamond" w:cs="Arial"/>
          <w:b/>
          <w:lang w:val="es-ES"/>
        </w:rPr>
      </w:pPr>
    </w:p>
    <w:p w14:paraId="7EFD4A2C" w14:textId="181B869A" w:rsidR="005F0812" w:rsidRPr="00885568" w:rsidRDefault="005F0812" w:rsidP="00A72B81">
      <w:pPr>
        <w:jc w:val="both"/>
        <w:rPr>
          <w:rFonts w:ascii="Garamond" w:hAnsi="Garamond" w:cs="Arial"/>
          <w:b/>
          <w:sz w:val="24"/>
          <w:szCs w:val="24"/>
          <w:lang w:val="es-ES"/>
        </w:rPr>
      </w:pPr>
      <w:r w:rsidRPr="00885568">
        <w:rPr>
          <w:rFonts w:ascii="Garamond" w:hAnsi="Garamond" w:cs="Arial"/>
          <w:b/>
          <w:sz w:val="24"/>
          <w:szCs w:val="24"/>
          <w:lang w:val="es-ES"/>
        </w:rPr>
        <w:t>8.2.2. Aporte de la Agencia ATENEA</w:t>
      </w:r>
    </w:p>
    <w:p w14:paraId="54A1AE36" w14:textId="77777777" w:rsidR="00A72B81" w:rsidRPr="00885568" w:rsidRDefault="00A72B81" w:rsidP="00A72B81">
      <w:pPr>
        <w:jc w:val="both"/>
        <w:rPr>
          <w:rFonts w:ascii="Garamond" w:hAnsi="Garamond" w:cs="Arial"/>
          <w:sz w:val="24"/>
          <w:szCs w:val="24"/>
          <w:lang w:val="es-ES"/>
        </w:rPr>
      </w:pPr>
    </w:p>
    <w:p w14:paraId="1EEABCB0" w14:textId="3AE806DE" w:rsidR="00107F63" w:rsidRPr="00885568" w:rsidRDefault="00107F63" w:rsidP="00107F63">
      <w:pPr>
        <w:jc w:val="both"/>
        <w:rPr>
          <w:rFonts w:ascii="Garamond" w:hAnsi="Garamond" w:cs="Arial"/>
          <w:sz w:val="24"/>
          <w:szCs w:val="24"/>
        </w:rPr>
      </w:pPr>
      <w:r w:rsidRPr="00885568">
        <w:rPr>
          <w:rFonts w:ascii="Garamond" w:hAnsi="Garamond" w:cs="Arial"/>
          <w:sz w:val="24"/>
          <w:szCs w:val="24"/>
        </w:rPr>
        <w:t xml:space="preserve">Por su parte, la Agencia Atenea realizará un aporte en especie a partir de sus recursos físicos, técnicos, administrativos y humanos, particularmente a través de: </w:t>
      </w:r>
    </w:p>
    <w:p w14:paraId="2E556376" w14:textId="77777777" w:rsidR="00107F63" w:rsidRPr="00885568" w:rsidRDefault="00107F63" w:rsidP="00107F63">
      <w:pPr>
        <w:jc w:val="both"/>
        <w:rPr>
          <w:rFonts w:ascii="Garamond" w:hAnsi="Garamond" w:cs="Arial"/>
          <w:sz w:val="24"/>
          <w:szCs w:val="24"/>
          <w:lang w:val="es-ES"/>
        </w:rPr>
      </w:pPr>
    </w:p>
    <w:p w14:paraId="1CD57033" w14:textId="77777777" w:rsidR="00107F63" w:rsidRPr="00885568" w:rsidRDefault="00107F63" w:rsidP="0055486F">
      <w:pPr>
        <w:numPr>
          <w:ilvl w:val="0"/>
          <w:numId w:val="25"/>
        </w:numPr>
        <w:jc w:val="both"/>
        <w:rPr>
          <w:rFonts w:ascii="Garamond" w:hAnsi="Garamond" w:cs="Arial"/>
          <w:sz w:val="24"/>
          <w:szCs w:val="24"/>
        </w:rPr>
      </w:pPr>
      <w:r w:rsidRPr="00885568">
        <w:rPr>
          <w:rFonts w:ascii="Garamond" w:hAnsi="Garamond" w:cs="Arial"/>
          <w:sz w:val="24"/>
          <w:szCs w:val="24"/>
        </w:rPr>
        <w:t>La disposición de un equipo profesional interdisciplinario encargado de apoyar el seguimiento oportuno y la supervisión integral a la ejecución del convenio. </w:t>
      </w:r>
    </w:p>
    <w:p w14:paraId="433E0F32" w14:textId="77777777" w:rsidR="00107F63" w:rsidRPr="00885568" w:rsidRDefault="00107F63" w:rsidP="0055486F">
      <w:pPr>
        <w:numPr>
          <w:ilvl w:val="0"/>
          <w:numId w:val="25"/>
        </w:numPr>
        <w:jc w:val="both"/>
        <w:rPr>
          <w:rFonts w:ascii="Garamond" w:hAnsi="Garamond" w:cs="Arial"/>
          <w:sz w:val="24"/>
          <w:szCs w:val="24"/>
        </w:rPr>
      </w:pPr>
      <w:r w:rsidRPr="00885568">
        <w:rPr>
          <w:rFonts w:ascii="Garamond" w:hAnsi="Garamond" w:cs="Arial"/>
          <w:sz w:val="24"/>
          <w:szCs w:val="24"/>
        </w:rPr>
        <w:t>La gestión jurídica y administrativa necesarias para la suscripción de los diferentes convenios con las Instituciones de Educación Superior y de Educación y Formación para el Trabajo en donde se impartirán los Programas de Educación Posmedia.</w:t>
      </w:r>
    </w:p>
    <w:p w14:paraId="3ED9D39F" w14:textId="77777777" w:rsidR="00107F63" w:rsidRPr="00885568" w:rsidRDefault="00107F63" w:rsidP="0055486F">
      <w:pPr>
        <w:numPr>
          <w:ilvl w:val="0"/>
          <w:numId w:val="25"/>
        </w:numPr>
        <w:jc w:val="both"/>
        <w:rPr>
          <w:rFonts w:ascii="Garamond" w:hAnsi="Garamond" w:cs="Arial"/>
          <w:sz w:val="24"/>
          <w:szCs w:val="24"/>
        </w:rPr>
      </w:pPr>
      <w:r w:rsidRPr="00885568">
        <w:rPr>
          <w:rFonts w:ascii="Garamond" w:hAnsi="Garamond" w:cs="Arial"/>
          <w:sz w:val="24"/>
          <w:szCs w:val="24"/>
        </w:rPr>
        <w:t>La habilitación de las instalaciones físicas, los equipos técnicos y/o tecnológicos y demás bienes, así como el desarrollo de las acciones necesarias para llevar a cabo los procesos de sensibilización, difusión, convocatoria e inscripción de las convocatorias en su territorio. </w:t>
      </w:r>
    </w:p>
    <w:p w14:paraId="4598482A" w14:textId="77777777" w:rsidR="00107F63" w:rsidRPr="00885568" w:rsidRDefault="00107F63" w:rsidP="0055486F">
      <w:pPr>
        <w:numPr>
          <w:ilvl w:val="0"/>
          <w:numId w:val="25"/>
        </w:numPr>
        <w:jc w:val="both"/>
        <w:rPr>
          <w:rFonts w:ascii="Garamond" w:hAnsi="Garamond" w:cs="Arial"/>
          <w:sz w:val="24"/>
          <w:szCs w:val="24"/>
        </w:rPr>
      </w:pPr>
      <w:r w:rsidRPr="00885568">
        <w:rPr>
          <w:rFonts w:ascii="Garamond" w:hAnsi="Garamond" w:cs="Arial"/>
          <w:sz w:val="24"/>
          <w:szCs w:val="24"/>
        </w:rPr>
        <w:lastRenderedPageBreak/>
        <w:t>La experiencia de la Agencia en la ejecución en programas relacionados con el Sector Educación. </w:t>
      </w:r>
    </w:p>
    <w:p w14:paraId="7E153F15" w14:textId="77777777" w:rsidR="00107F63" w:rsidRPr="00885568" w:rsidRDefault="00107F63" w:rsidP="00107F63">
      <w:pPr>
        <w:jc w:val="both"/>
        <w:rPr>
          <w:rFonts w:ascii="Garamond" w:hAnsi="Garamond" w:cs="Arial"/>
          <w:sz w:val="24"/>
          <w:szCs w:val="24"/>
          <w:lang w:val="es-ES"/>
        </w:rPr>
      </w:pPr>
    </w:p>
    <w:p w14:paraId="102201F1" w14:textId="77777777" w:rsidR="00107F63" w:rsidRPr="00885568" w:rsidRDefault="00107F63" w:rsidP="00107F63">
      <w:pPr>
        <w:jc w:val="both"/>
        <w:rPr>
          <w:rFonts w:ascii="Garamond" w:hAnsi="Garamond" w:cs="Arial"/>
          <w:sz w:val="24"/>
          <w:szCs w:val="24"/>
        </w:rPr>
      </w:pPr>
      <w:r w:rsidRPr="00885568">
        <w:rPr>
          <w:rFonts w:ascii="Garamond" w:hAnsi="Garamond" w:cs="Arial"/>
          <w:b/>
          <w:bCs/>
          <w:sz w:val="24"/>
          <w:szCs w:val="24"/>
        </w:rPr>
        <w:t>PARÁGRAFO 1.</w:t>
      </w:r>
      <w:r w:rsidRPr="00885568">
        <w:rPr>
          <w:rFonts w:ascii="Garamond" w:hAnsi="Garamond" w:cs="Arial"/>
          <w:sz w:val="24"/>
          <w:szCs w:val="24"/>
        </w:rPr>
        <w:t xml:space="preserve"> El valor del convenio se calcula a partir de los valores promedio de matrículas reportados en el Sistema Nacional de Información de la Educación Superior (SNIES), valores reportados en el Sistema de Información de la Educación para el Trabajo (SIET) por las Instituciones de Educación y Formación para el Trabajo y los valores de referencia en el caso de las Instituciones de Educación Superior (IES) oficiales, proyectados con el incremento de la inflación prevista en el marco fiscal de mediano plazo de la Secretaría Distrital de Hacienda y el número de beneficiarios.</w:t>
      </w:r>
    </w:p>
    <w:p w14:paraId="03B13107" w14:textId="77777777" w:rsidR="00107F63" w:rsidRPr="00885568" w:rsidRDefault="00107F63" w:rsidP="00107F63">
      <w:pPr>
        <w:jc w:val="both"/>
        <w:rPr>
          <w:rFonts w:ascii="Garamond" w:hAnsi="Garamond" w:cs="Arial"/>
          <w:sz w:val="24"/>
          <w:szCs w:val="24"/>
        </w:rPr>
      </w:pPr>
    </w:p>
    <w:p w14:paraId="3FB28F0B" w14:textId="77777777" w:rsidR="00107F63" w:rsidRPr="00885568" w:rsidRDefault="00107F63" w:rsidP="00107F63">
      <w:pPr>
        <w:jc w:val="both"/>
        <w:rPr>
          <w:rFonts w:ascii="Garamond" w:hAnsi="Garamond" w:cs="Arial"/>
          <w:sz w:val="24"/>
          <w:szCs w:val="24"/>
        </w:rPr>
      </w:pPr>
      <w:r w:rsidRPr="00885568">
        <w:rPr>
          <w:rFonts w:ascii="Garamond" w:hAnsi="Garamond" w:cs="Arial"/>
          <w:b/>
          <w:bCs/>
          <w:sz w:val="24"/>
          <w:szCs w:val="24"/>
        </w:rPr>
        <w:t>PARÁGRAFO 2.</w:t>
      </w:r>
      <w:r w:rsidRPr="00885568">
        <w:rPr>
          <w:rFonts w:ascii="Garamond" w:hAnsi="Garamond" w:cs="Arial"/>
          <w:sz w:val="24"/>
          <w:szCs w:val="24"/>
        </w:rPr>
        <w:t xml:space="preserve"> El valor final de la inversión en cada Programa y la cobertura de beneficios a entregar estará determinado por el mecanismo de inversión con instituciones oficiales, por la aplicación del mecanismo de selección de instituciones y operadores de formación y el mecanismo de selección de beneficiarios establecidos por la Agencia Atenea en cada proceso. Entendiendo que dichos mecanismos de selección serán el resultado de un conjunto de variables técnicas e independientes que determina, por un lado, la cantidad de cupos en los programas académicos en función de su pertinencia, calidad, permanencia, tasas internas de retorno, entre otras variables, y por otro lado, de las preferencias académicas de las y los beneficiarios en el proceso de inscripción que determinan la elegibilidad de estos y el uso de los beneficios. </w:t>
      </w:r>
    </w:p>
    <w:p w14:paraId="402666FF" w14:textId="77777777" w:rsidR="00107F63" w:rsidRPr="00885568" w:rsidRDefault="00107F63" w:rsidP="00107F63">
      <w:pPr>
        <w:jc w:val="both"/>
        <w:rPr>
          <w:rFonts w:ascii="Garamond" w:hAnsi="Garamond" w:cs="Arial"/>
          <w:sz w:val="24"/>
          <w:szCs w:val="24"/>
        </w:rPr>
      </w:pPr>
    </w:p>
    <w:p w14:paraId="60CD5AB9" w14:textId="4C05FFBA" w:rsidR="00107F63" w:rsidRPr="00885568" w:rsidRDefault="00107F63" w:rsidP="00107F63">
      <w:pPr>
        <w:jc w:val="both"/>
        <w:rPr>
          <w:rFonts w:ascii="Garamond" w:hAnsi="Garamond" w:cs="Arial"/>
          <w:sz w:val="24"/>
          <w:szCs w:val="24"/>
        </w:rPr>
      </w:pPr>
      <w:r w:rsidRPr="00885568">
        <w:rPr>
          <w:rFonts w:ascii="Garamond" w:hAnsi="Garamond" w:cs="Arial"/>
          <w:b/>
          <w:bCs/>
          <w:sz w:val="24"/>
          <w:szCs w:val="24"/>
        </w:rPr>
        <w:t>PARÁGRAFO 3.</w:t>
      </w:r>
      <w:r w:rsidRPr="00885568">
        <w:rPr>
          <w:rFonts w:ascii="Garamond" w:hAnsi="Garamond" w:cs="Arial"/>
          <w:sz w:val="24"/>
          <w:szCs w:val="24"/>
        </w:rPr>
        <w:t xml:space="preserve"> La cobertura de beneficiarios de cada convocatoria corresponderá a la financiación efectiva, con cargo a los recursos aportados por el Fondo de Desarrollo Local, de los componentes de acceso y permanencia para cada uno de ellos. En este sentido, el Fondo de Desarrollo Local deberá garantizar la financiación completa sin la posibilidad de aporte parcial o de selección del componente a financiar.</w:t>
      </w:r>
    </w:p>
    <w:p w14:paraId="10EF8504" w14:textId="77777777" w:rsidR="00107F63" w:rsidRPr="00885568" w:rsidRDefault="00107F63" w:rsidP="00107F63">
      <w:pPr>
        <w:jc w:val="both"/>
        <w:rPr>
          <w:rFonts w:ascii="Garamond" w:hAnsi="Garamond" w:cs="Arial"/>
          <w:sz w:val="24"/>
          <w:szCs w:val="24"/>
        </w:rPr>
      </w:pPr>
    </w:p>
    <w:p w14:paraId="2ADB7E27" w14:textId="43C8C58B" w:rsidR="00534C30" w:rsidRPr="00885568" w:rsidRDefault="00012687" w:rsidP="00534C30">
      <w:pPr>
        <w:jc w:val="both"/>
        <w:rPr>
          <w:rFonts w:ascii="Garamond" w:hAnsi="Garamond" w:cs="Arial"/>
          <w:b/>
          <w:sz w:val="24"/>
          <w:szCs w:val="24"/>
        </w:rPr>
      </w:pPr>
      <w:r w:rsidRPr="00885568">
        <w:rPr>
          <w:rFonts w:ascii="Garamond" w:hAnsi="Garamond" w:cs="Arial"/>
          <w:b/>
          <w:sz w:val="24"/>
          <w:szCs w:val="24"/>
          <w:lang w:val="es-ES"/>
        </w:rPr>
        <w:t>8</w:t>
      </w:r>
      <w:r w:rsidR="00534C30" w:rsidRPr="00885568">
        <w:rPr>
          <w:rFonts w:ascii="Garamond" w:hAnsi="Garamond" w:cs="Arial"/>
          <w:b/>
          <w:sz w:val="24"/>
          <w:szCs w:val="24"/>
          <w:lang w:val="es-ES"/>
        </w:rPr>
        <w:t xml:space="preserve">.3 </w:t>
      </w:r>
      <w:r w:rsidR="00534C30" w:rsidRPr="00885568">
        <w:rPr>
          <w:rFonts w:ascii="Garamond" w:hAnsi="Garamond" w:cs="Arial"/>
          <w:b/>
          <w:sz w:val="24"/>
          <w:szCs w:val="24"/>
        </w:rPr>
        <w:t>FORMA DE PAGO</w:t>
      </w:r>
    </w:p>
    <w:p w14:paraId="084F391F" w14:textId="28C707E1" w:rsidR="00892BC9" w:rsidRPr="00885568" w:rsidRDefault="00892BC9" w:rsidP="00534C30">
      <w:pPr>
        <w:jc w:val="both"/>
        <w:rPr>
          <w:rFonts w:ascii="Garamond" w:hAnsi="Garamond" w:cs="Arial"/>
          <w:b/>
          <w:sz w:val="24"/>
          <w:szCs w:val="24"/>
        </w:rPr>
      </w:pPr>
    </w:p>
    <w:p w14:paraId="7685FF81" w14:textId="75574081" w:rsidR="00892BC9" w:rsidRPr="00885568" w:rsidRDefault="00892BC9" w:rsidP="00534C30">
      <w:pPr>
        <w:jc w:val="both"/>
        <w:rPr>
          <w:rFonts w:ascii="Garamond" w:hAnsi="Garamond" w:cs="Arial"/>
          <w:b/>
          <w:sz w:val="24"/>
          <w:szCs w:val="24"/>
        </w:rPr>
      </w:pPr>
      <w:r w:rsidRPr="00885568">
        <w:rPr>
          <w:rFonts w:ascii="Garamond" w:hAnsi="Garamond" w:cs="Arial"/>
          <w:b/>
          <w:sz w:val="24"/>
          <w:szCs w:val="24"/>
        </w:rPr>
        <w:t xml:space="preserve">8.3.1. Único Desembolso </w:t>
      </w:r>
    </w:p>
    <w:p w14:paraId="41837981" w14:textId="77777777" w:rsidR="00534C30" w:rsidRPr="00885568" w:rsidRDefault="00534C30" w:rsidP="00534C30">
      <w:pPr>
        <w:jc w:val="both"/>
        <w:rPr>
          <w:rFonts w:ascii="Garamond" w:hAnsi="Garamond" w:cs="Arial"/>
          <w:sz w:val="18"/>
          <w:szCs w:val="18"/>
          <w:lang w:val="es-ES"/>
        </w:rPr>
      </w:pPr>
    </w:p>
    <w:p w14:paraId="20BF2519" w14:textId="77777777" w:rsidR="002C6577" w:rsidRPr="00885568" w:rsidRDefault="002C6577" w:rsidP="002C6577">
      <w:pPr>
        <w:jc w:val="both"/>
        <w:rPr>
          <w:rFonts w:ascii="Garamond" w:hAnsi="Garamond" w:cs="Arial"/>
          <w:sz w:val="24"/>
          <w:szCs w:val="24"/>
        </w:rPr>
      </w:pPr>
      <w:r w:rsidRPr="00885568">
        <w:rPr>
          <w:rFonts w:ascii="Garamond" w:hAnsi="Garamond" w:cs="Arial"/>
          <w:sz w:val="24"/>
          <w:szCs w:val="24"/>
        </w:rPr>
        <w:t xml:space="preserve">El Fondo de Desarrollo Local trasladará la totalidad de los aportes financieros a la Agencia Atenea después de haber cumplido los requisitos de perfeccionamiento y ejecución del convenio. </w:t>
      </w:r>
    </w:p>
    <w:p w14:paraId="5FFEF324" w14:textId="77777777" w:rsidR="002C6577" w:rsidRPr="00885568" w:rsidRDefault="002C6577" w:rsidP="002C6577">
      <w:pPr>
        <w:jc w:val="both"/>
        <w:rPr>
          <w:rFonts w:ascii="Garamond" w:hAnsi="Garamond" w:cs="Arial"/>
          <w:sz w:val="24"/>
          <w:szCs w:val="24"/>
        </w:rPr>
      </w:pPr>
    </w:p>
    <w:p w14:paraId="52C29BB8" w14:textId="77777777" w:rsidR="002C6577" w:rsidRPr="00885568" w:rsidRDefault="002C6577" w:rsidP="002C6577">
      <w:pPr>
        <w:jc w:val="both"/>
        <w:rPr>
          <w:rFonts w:ascii="Garamond" w:hAnsi="Garamond" w:cs="Arial"/>
          <w:sz w:val="24"/>
          <w:szCs w:val="24"/>
        </w:rPr>
      </w:pPr>
      <w:r w:rsidRPr="00885568">
        <w:rPr>
          <w:rFonts w:ascii="Garamond" w:hAnsi="Garamond" w:cs="Arial"/>
          <w:sz w:val="24"/>
          <w:szCs w:val="24"/>
        </w:rPr>
        <w:t xml:space="preserve">El Fondo de Desarrollo Local desembolsará el 100% de los recursos pactados en el convenio a la Agencia Atenea, los cuales serán girados sin situación de fondos, de conformidad con los lineamientos emitidos en la Circular No. 7 de 2024, que hacen parte integral del convenio, al igual que las modificaciones que pudieren expedirse durante la ejecución del convenio. </w:t>
      </w:r>
    </w:p>
    <w:p w14:paraId="0EDCD46A" w14:textId="77777777" w:rsidR="002C6577" w:rsidRPr="00885568" w:rsidRDefault="002C6577" w:rsidP="002C6577">
      <w:pPr>
        <w:jc w:val="both"/>
        <w:rPr>
          <w:rFonts w:ascii="Garamond" w:hAnsi="Garamond" w:cs="Arial"/>
          <w:sz w:val="24"/>
          <w:szCs w:val="24"/>
        </w:rPr>
      </w:pPr>
    </w:p>
    <w:p w14:paraId="48CD8F91" w14:textId="77777777" w:rsidR="002C6577" w:rsidRPr="00885568" w:rsidRDefault="002C6577" w:rsidP="002C6577">
      <w:pPr>
        <w:jc w:val="both"/>
        <w:rPr>
          <w:rFonts w:ascii="Garamond" w:hAnsi="Garamond" w:cs="Arial"/>
          <w:sz w:val="24"/>
          <w:szCs w:val="24"/>
        </w:rPr>
      </w:pPr>
      <w:r w:rsidRPr="00885568">
        <w:rPr>
          <w:rFonts w:ascii="Garamond" w:hAnsi="Garamond" w:cs="Arial"/>
          <w:b/>
          <w:sz w:val="24"/>
          <w:szCs w:val="24"/>
        </w:rPr>
        <w:lastRenderedPageBreak/>
        <w:t>PARÁGRAFO 1.</w:t>
      </w:r>
      <w:r w:rsidRPr="00885568">
        <w:rPr>
          <w:rFonts w:ascii="Garamond" w:hAnsi="Garamond" w:cs="Arial"/>
          <w:sz w:val="24"/>
          <w:szCs w:val="24"/>
        </w:rPr>
        <w:t xml:space="preserve"> </w:t>
      </w:r>
      <w:r w:rsidRPr="00885568">
        <w:rPr>
          <w:rFonts w:ascii="Garamond" w:hAnsi="Garamond" w:cs="Arial"/>
          <w:b/>
          <w:sz w:val="24"/>
          <w:szCs w:val="24"/>
        </w:rPr>
        <w:t>Administración de los recursos:</w:t>
      </w:r>
      <w:r w:rsidRPr="00885568">
        <w:rPr>
          <w:rFonts w:ascii="Garamond" w:hAnsi="Garamond" w:cs="Arial"/>
          <w:sz w:val="24"/>
          <w:szCs w:val="24"/>
        </w:rPr>
        <w:t xml:space="preserve"> La Agencia Atenea administrará los recursos aportados por el Fondo de Desarrollo Local a través del Fondo Cuenta, el cual, fue creado mediante el artículo 1 del Acuerdo Distrital 810 de 2021, y se constituye como un fondo acumulativo, caracterizado por ser una cuenta especial sin personería jurídica, con el objeto de efectuar el debido manejo presupuestal, contable y de tesorería de los recursos destinados al cumplimiento del objeto y funciones esenciales de la Agencia Atenea.   </w:t>
      </w:r>
    </w:p>
    <w:p w14:paraId="11099C33" w14:textId="77777777" w:rsidR="002C6577" w:rsidRPr="00885568" w:rsidRDefault="002C6577" w:rsidP="002C6577">
      <w:pPr>
        <w:jc w:val="both"/>
        <w:rPr>
          <w:rFonts w:ascii="Garamond" w:hAnsi="Garamond" w:cs="Arial"/>
          <w:sz w:val="24"/>
          <w:szCs w:val="24"/>
        </w:rPr>
      </w:pPr>
    </w:p>
    <w:p w14:paraId="38BA00EF" w14:textId="77777777" w:rsidR="002C6577" w:rsidRPr="00885568" w:rsidRDefault="002C6577" w:rsidP="002C6577">
      <w:pPr>
        <w:jc w:val="both"/>
        <w:rPr>
          <w:rFonts w:ascii="Garamond" w:hAnsi="Garamond" w:cs="Arial"/>
          <w:sz w:val="24"/>
          <w:szCs w:val="24"/>
        </w:rPr>
      </w:pPr>
      <w:r w:rsidRPr="00885568">
        <w:rPr>
          <w:rFonts w:ascii="Garamond" w:hAnsi="Garamond" w:cs="Arial"/>
          <w:sz w:val="24"/>
          <w:szCs w:val="24"/>
        </w:rPr>
        <w:t xml:space="preserve">Para todos los efectos, las partes deberán tener en cuenta lo dispuesto en la Resolución 218 del 15 de noviembre de 2023 “Por medio del cual se actualiza el manual operativo y de procedimiento del Fondo Cuenta “Atenea y se deroga la Resolución 007 de 2022”, expedida por el Director General de la Agencia Atenea. </w:t>
      </w:r>
    </w:p>
    <w:p w14:paraId="52C29156" w14:textId="77777777" w:rsidR="002C6577" w:rsidRPr="00885568" w:rsidRDefault="002C6577" w:rsidP="002C6577">
      <w:pPr>
        <w:jc w:val="both"/>
        <w:rPr>
          <w:rFonts w:ascii="Garamond" w:hAnsi="Garamond" w:cs="Arial"/>
          <w:b/>
          <w:sz w:val="24"/>
          <w:szCs w:val="24"/>
        </w:rPr>
      </w:pPr>
    </w:p>
    <w:p w14:paraId="0D4E7925" w14:textId="77777777" w:rsidR="002C6577" w:rsidRPr="00885568" w:rsidRDefault="002C6577" w:rsidP="002C6577">
      <w:pPr>
        <w:jc w:val="both"/>
        <w:rPr>
          <w:rFonts w:ascii="Garamond" w:hAnsi="Garamond" w:cs="Arial"/>
          <w:sz w:val="24"/>
          <w:szCs w:val="24"/>
        </w:rPr>
      </w:pPr>
      <w:r w:rsidRPr="00885568">
        <w:rPr>
          <w:rFonts w:ascii="Garamond" w:hAnsi="Garamond" w:cs="Arial"/>
          <w:b/>
          <w:sz w:val="24"/>
          <w:szCs w:val="24"/>
        </w:rPr>
        <w:t>PARÁGRAFO 2. Reciclaje de Recursos:</w:t>
      </w:r>
      <w:r w:rsidRPr="00885568">
        <w:rPr>
          <w:rFonts w:ascii="Garamond" w:hAnsi="Garamond" w:cs="Arial"/>
          <w:sz w:val="24"/>
          <w:szCs w:val="24"/>
        </w:rPr>
        <w:t xml:space="preserve"> Los recursos del Fondo de Desarrollo Local que no sean ejecutados serán reinvertidos en nuevos procesos y convocatorias de los Programas de Educación Posmedia y seguirán siendo administrados por la Agencia Atenea a través del Fondo Cuenta, ya que este funciona como una bolsa. Con ello, se busca una gestión eficiente de los recursos que permita maximizar el impacto de los programas. </w:t>
      </w:r>
    </w:p>
    <w:p w14:paraId="168A3F4F" w14:textId="77777777" w:rsidR="002C6577" w:rsidRPr="00885568" w:rsidRDefault="002C6577" w:rsidP="002C6577">
      <w:pPr>
        <w:jc w:val="both"/>
        <w:rPr>
          <w:rFonts w:ascii="Garamond" w:hAnsi="Garamond" w:cs="Arial"/>
          <w:b/>
          <w:sz w:val="24"/>
          <w:szCs w:val="24"/>
        </w:rPr>
      </w:pPr>
    </w:p>
    <w:p w14:paraId="50AB7C62" w14:textId="77777777" w:rsidR="002C6577" w:rsidRPr="00885568" w:rsidRDefault="002C6577" w:rsidP="002C6577">
      <w:pPr>
        <w:jc w:val="both"/>
        <w:rPr>
          <w:rFonts w:ascii="Garamond" w:hAnsi="Garamond" w:cs="Arial"/>
          <w:sz w:val="24"/>
          <w:szCs w:val="24"/>
        </w:rPr>
      </w:pPr>
      <w:r w:rsidRPr="00885568">
        <w:rPr>
          <w:rFonts w:ascii="Garamond" w:hAnsi="Garamond" w:cs="Arial"/>
          <w:b/>
          <w:sz w:val="24"/>
          <w:szCs w:val="24"/>
        </w:rPr>
        <w:t>PARÁGRAFO 3. Saldos de la Liquidación:</w:t>
      </w:r>
      <w:r w:rsidRPr="00885568">
        <w:rPr>
          <w:rFonts w:ascii="Garamond" w:hAnsi="Garamond" w:cs="Arial"/>
          <w:sz w:val="24"/>
          <w:szCs w:val="24"/>
        </w:rPr>
        <w:t xml:space="preserve"> Durante la ejecución del convenio, el Fondo de Desarrollo Local tendrá conocimiento de los saldos parciales mediante los reportes de cuentas reciprocas que emite la Agencia Atenea, los cuales, se actualizarán de acuerdo con el desarrollo de los programas.</w:t>
      </w:r>
    </w:p>
    <w:p w14:paraId="5DCFAEC4" w14:textId="77777777" w:rsidR="002C6577" w:rsidRPr="00885568" w:rsidRDefault="002C6577" w:rsidP="002C6577">
      <w:pPr>
        <w:jc w:val="both"/>
        <w:rPr>
          <w:rFonts w:ascii="Garamond" w:hAnsi="Garamond" w:cs="Arial"/>
          <w:sz w:val="24"/>
          <w:szCs w:val="24"/>
        </w:rPr>
      </w:pPr>
    </w:p>
    <w:p w14:paraId="03707604" w14:textId="77777777" w:rsidR="002C6577" w:rsidRPr="00885568" w:rsidRDefault="002C6577" w:rsidP="002C6577">
      <w:pPr>
        <w:jc w:val="both"/>
        <w:rPr>
          <w:rFonts w:ascii="Garamond" w:hAnsi="Garamond" w:cs="Arial"/>
          <w:sz w:val="24"/>
          <w:szCs w:val="24"/>
        </w:rPr>
      </w:pPr>
      <w:r w:rsidRPr="00885568">
        <w:rPr>
          <w:rFonts w:ascii="Garamond" w:hAnsi="Garamond" w:cs="Arial"/>
          <w:sz w:val="24"/>
          <w:szCs w:val="24"/>
        </w:rPr>
        <w:t xml:space="preserve">Al finalizar la ejecución del convenio, durante la etapa de liquidación del mismo, Las Partes verificarán la existencia de saldos a favor y darán cumplimiento a las normas presupuestales distritales correspondientes, así como el reglamento del Fondo Cuenta Atenea. </w:t>
      </w:r>
    </w:p>
    <w:p w14:paraId="0C6C1EA5" w14:textId="77777777" w:rsidR="002C6577" w:rsidRPr="00885568" w:rsidRDefault="002C6577" w:rsidP="002C6577">
      <w:pPr>
        <w:jc w:val="both"/>
        <w:rPr>
          <w:rFonts w:ascii="Garamond" w:hAnsi="Garamond" w:cs="Arial"/>
          <w:b/>
          <w:sz w:val="24"/>
          <w:szCs w:val="24"/>
        </w:rPr>
      </w:pPr>
      <w:r w:rsidRPr="00885568">
        <w:rPr>
          <w:rFonts w:ascii="Garamond" w:hAnsi="Garamond" w:cs="Arial"/>
          <w:sz w:val="24"/>
          <w:szCs w:val="24"/>
        </w:rPr>
        <w:t xml:space="preserve"> </w:t>
      </w:r>
    </w:p>
    <w:p w14:paraId="7AEA21AB" w14:textId="1A0D46A8" w:rsidR="002C6577" w:rsidRPr="00885568" w:rsidRDefault="002C6577" w:rsidP="002C6577">
      <w:pPr>
        <w:jc w:val="both"/>
        <w:rPr>
          <w:rFonts w:ascii="Garamond" w:hAnsi="Garamond" w:cs="Arial"/>
          <w:sz w:val="24"/>
          <w:szCs w:val="24"/>
        </w:rPr>
      </w:pPr>
      <w:r w:rsidRPr="00885568">
        <w:rPr>
          <w:rFonts w:ascii="Garamond" w:hAnsi="Garamond" w:cs="Arial"/>
          <w:b/>
          <w:sz w:val="24"/>
          <w:szCs w:val="24"/>
        </w:rPr>
        <w:t>PARÁGRAFO 4. Rendimientos Financieros:</w:t>
      </w:r>
      <w:r w:rsidRPr="00885568">
        <w:rPr>
          <w:rFonts w:ascii="Garamond" w:hAnsi="Garamond" w:cs="Arial"/>
          <w:sz w:val="24"/>
          <w:szCs w:val="24"/>
        </w:rPr>
        <w:t xml:space="preserve"> De conformidad con el Parágrafo 2 de la Resolución 218 del 15 de noviembre de 2023, los rendimientos financieros que se originen con ocasión de la ejecución de los recursos aportados por el Fondos de Desarrollo Local son propiedad de los citados fondos.  </w:t>
      </w:r>
    </w:p>
    <w:p w14:paraId="031AA100" w14:textId="77777777" w:rsidR="002C6577" w:rsidRPr="00885568" w:rsidRDefault="002C6577" w:rsidP="002C6577">
      <w:pPr>
        <w:jc w:val="both"/>
        <w:rPr>
          <w:rFonts w:ascii="Garamond" w:hAnsi="Garamond" w:cs="Arial"/>
          <w:sz w:val="24"/>
          <w:szCs w:val="24"/>
        </w:rPr>
      </w:pPr>
    </w:p>
    <w:p w14:paraId="2F9F247D" w14:textId="2284315F" w:rsidR="002C6577" w:rsidRPr="00885568" w:rsidRDefault="002C6577" w:rsidP="002C6577">
      <w:pPr>
        <w:jc w:val="both"/>
        <w:rPr>
          <w:rFonts w:ascii="Garamond" w:hAnsi="Garamond" w:cs="Arial"/>
          <w:sz w:val="24"/>
          <w:szCs w:val="24"/>
        </w:rPr>
      </w:pPr>
      <w:r w:rsidRPr="00885568">
        <w:rPr>
          <w:rFonts w:ascii="Garamond" w:hAnsi="Garamond" w:cs="Arial"/>
          <w:sz w:val="24"/>
          <w:szCs w:val="24"/>
        </w:rPr>
        <w:t xml:space="preserve">Por regla general, dichos rendimientos financieros serán administrados por la Agencia Atenea a través del Fondo cuenta y reinvertidos en los Programas de Educación Posmedia y sus diferentes procesos y convocatorias, salvo manifestación expresa en contrario remitida mediante escrito por parte del Fondo de Desarrollo Local.    </w:t>
      </w:r>
    </w:p>
    <w:p w14:paraId="07479EB1" w14:textId="77777777" w:rsidR="002C6577" w:rsidRPr="00885568" w:rsidRDefault="002C6577" w:rsidP="002C6577">
      <w:pPr>
        <w:jc w:val="both"/>
        <w:rPr>
          <w:rFonts w:ascii="Garamond" w:hAnsi="Garamond" w:cs="Arial"/>
          <w:sz w:val="24"/>
          <w:szCs w:val="24"/>
        </w:rPr>
      </w:pPr>
    </w:p>
    <w:p w14:paraId="7449071C" w14:textId="3CE1CD48" w:rsidR="00445991" w:rsidRPr="00885568" w:rsidRDefault="002C6577" w:rsidP="002C6577">
      <w:pPr>
        <w:jc w:val="both"/>
        <w:rPr>
          <w:rFonts w:ascii="Garamond" w:hAnsi="Garamond" w:cs="Arial"/>
          <w:sz w:val="24"/>
          <w:szCs w:val="24"/>
        </w:rPr>
      </w:pPr>
      <w:r w:rsidRPr="00885568">
        <w:rPr>
          <w:rFonts w:ascii="Garamond" w:hAnsi="Garamond" w:cs="Arial"/>
          <w:sz w:val="24"/>
          <w:szCs w:val="24"/>
        </w:rPr>
        <w:lastRenderedPageBreak/>
        <w:t>Lo anterior, con fundamento en el Oficio Rad. 2023EE119601 del 25 de abril de 2023 “Rendimientos financieros de los Convenios interadministrativos que suscriban los Fondos de Desarrollo Local y la Agencia Distrital para la Educación Superior, Ciencia y Tecnología – ATENEA para el programa Jóvenes a la U”, emitido por la Secretaría Distrital de Hacienda, el cual hace parte integral del presente convenio.</w:t>
      </w:r>
    </w:p>
    <w:p w14:paraId="3D8D1787" w14:textId="77777777" w:rsidR="002C6577" w:rsidRPr="00885568" w:rsidRDefault="002C6577" w:rsidP="002C6577">
      <w:pPr>
        <w:jc w:val="both"/>
        <w:rPr>
          <w:rFonts w:ascii="Garamond" w:hAnsi="Garamond" w:cs="Arial"/>
          <w:b/>
          <w:sz w:val="24"/>
          <w:szCs w:val="24"/>
        </w:rPr>
      </w:pPr>
    </w:p>
    <w:p w14:paraId="67F08908" w14:textId="79C21C7B" w:rsidR="00E67AFB" w:rsidRPr="00885568" w:rsidRDefault="00012687" w:rsidP="00C92F1A">
      <w:pPr>
        <w:pStyle w:val="Prrafodelista"/>
        <w:spacing w:after="0" w:line="240" w:lineRule="auto"/>
        <w:ind w:left="426"/>
        <w:jc w:val="both"/>
        <w:rPr>
          <w:rFonts w:ascii="Garamond" w:hAnsi="Garamond" w:cstheme="minorHAnsi"/>
          <w:b/>
          <w:bCs/>
          <w:sz w:val="24"/>
          <w:szCs w:val="24"/>
        </w:rPr>
      </w:pPr>
      <w:r w:rsidRPr="00885568">
        <w:rPr>
          <w:rFonts w:ascii="Garamond" w:hAnsi="Garamond" w:cs="Arial"/>
          <w:b/>
          <w:sz w:val="24"/>
          <w:szCs w:val="24"/>
        </w:rPr>
        <w:t>8</w:t>
      </w:r>
      <w:r w:rsidR="00445991" w:rsidRPr="00885568">
        <w:rPr>
          <w:rFonts w:ascii="Garamond" w:hAnsi="Garamond" w:cs="Arial"/>
          <w:b/>
          <w:sz w:val="24"/>
          <w:szCs w:val="24"/>
        </w:rPr>
        <w:t xml:space="preserve">.4 </w:t>
      </w:r>
      <w:r w:rsidR="00E67AFB" w:rsidRPr="00885568">
        <w:rPr>
          <w:rFonts w:ascii="Garamond" w:hAnsi="Garamond" w:cstheme="minorHAnsi"/>
          <w:b/>
          <w:bCs/>
          <w:sz w:val="24"/>
          <w:szCs w:val="24"/>
        </w:rPr>
        <w:t>COMPROMISOS DE LAS PARTES</w:t>
      </w:r>
    </w:p>
    <w:p w14:paraId="49FCE522" w14:textId="35DD0CF2" w:rsidR="00445991" w:rsidRPr="00885568" w:rsidRDefault="00445991" w:rsidP="00445991">
      <w:pPr>
        <w:jc w:val="both"/>
        <w:rPr>
          <w:rFonts w:ascii="Garamond" w:hAnsi="Garamond" w:cs="Arial"/>
          <w:b/>
          <w:color w:val="808080" w:themeColor="background1" w:themeShade="80"/>
          <w:sz w:val="24"/>
          <w:szCs w:val="24"/>
        </w:rPr>
      </w:pPr>
    </w:p>
    <w:p w14:paraId="6445ED9E"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 xml:space="preserve">Cumplir cabalmente con los lineamientos, manuales y las especificaciones técnicas definidas en el presente convenio, en el Anexo Técnico y en los demás documentos que hacen parte integral del mismo. </w:t>
      </w:r>
    </w:p>
    <w:p w14:paraId="69B9A2B5"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 xml:space="preserve">Aportar el conocimiento y la experiencia requerida para el cumplimiento oportuno, diligente y eficiente del convenio. </w:t>
      </w:r>
    </w:p>
    <w:p w14:paraId="11A3F191"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Poner a disposición del convenio interadministrativo y sus beneficiarios los recursos financieros, técnicos, humanos y administrativos, así como la infraestructura, experiencia y la capacidad de gestión, necesarias para la ejecución del presente convenio y de las actividades específicas del mismo.</w:t>
      </w:r>
    </w:p>
    <w:p w14:paraId="59770C29"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Adoptar las medidas necesarias para garantizar el principio de transparencia y la prevención de corrupción durante la ejecución del convenio, y de manera posterior a su terminación, atendiendo los preceptos constitucionales y las disposiciones de la Ley 1474 de 2011 y el Decreto Distrital 189 de 2020 y demás normas reglamentarias, complementarias y/o modificatorias.</w:t>
      </w:r>
    </w:p>
    <w:p w14:paraId="471A5B7C"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Reportar de manera inmediata a la supervisión y a las autoridades competentes, cualquier novedad o anomalía que afecte la ejecución del convenio.</w:t>
      </w:r>
    </w:p>
    <w:p w14:paraId="59346EAD"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Suscribir oportunamente las actas de inicio, terminación y liquidación del convenio y sus modificaciones si a ello hubiera lugar, conjuntamente con los supervisores del mismo.</w:t>
      </w:r>
    </w:p>
    <w:p w14:paraId="4B86B964"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Elaborar y suscribir los instrumentos y documentos jurídicos y administrativos necesarios para el cumplimento del objeto del convenio.</w:t>
      </w:r>
    </w:p>
    <w:p w14:paraId="0A83034E"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Hacer uso adecuado y exclusivo de la información suministrada para el cumplimiento de las finalidades del convenio y abstenerse de divulgarla, acorde con el anexo de acuerdo de nivel de servicios para el intercambio de información.</w:t>
      </w:r>
    </w:p>
    <w:p w14:paraId="5F226FDF"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Guardar reserva de la información confidencial, secreta o reservada que sea obtenida en el desarrollo del presente convenio, a través de los mecanismos autorizados por la Ley, y garantizar la seguridad y el tratamiento de la misma de conformidad con la política de tratamiento de datos y lo dispuesto en la Ley 1266 de 2008 y demás normas reglamentarias, complementarias o modificatorias, así como en la Constitución Política de Colombia, en la jurisprudencia de la Corte Constitucional sobre la materia, en el documento CONPES 3854 de 2016  y la Norma Técnica ISO/IEC 27001 de 2013.</w:t>
      </w:r>
    </w:p>
    <w:p w14:paraId="472AA21E"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lastRenderedPageBreak/>
        <w:t>Cumplir y hacer cumplir la normatividad en materia ambiental expedida por el Gobierno Nacional, Distrital, así como el Plan Institucional de Gestión Ambiental de la Entidad.</w:t>
      </w:r>
    </w:p>
    <w:p w14:paraId="499A2626"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Dar curso a las directrices impartidas por los supervisores del Convenio interadministrativo.</w:t>
      </w:r>
    </w:p>
    <w:p w14:paraId="39B6640F"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Suministrar la información requerida por los supervisores para el ejercicio oportuno de su gestión y dar respuesta oportuna a las solicitudes de información que se susciten con ocasión del presente convenio, priorizando a aquellas requeridas por los entes y órganos de control.</w:t>
      </w:r>
    </w:p>
    <w:p w14:paraId="25296EA4" w14:textId="77777777" w:rsidR="00AF6479" w:rsidRPr="00885568" w:rsidRDefault="00AF6479" w:rsidP="0055486F">
      <w:pPr>
        <w:widowControl w:val="0"/>
        <w:numPr>
          <w:ilvl w:val="0"/>
          <w:numId w:val="10"/>
        </w:numPr>
        <w:autoSpaceDE w:val="0"/>
        <w:autoSpaceDN w:val="0"/>
        <w:jc w:val="both"/>
        <w:rPr>
          <w:rFonts w:ascii="Garamond" w:eastAsia="Arial" w:hAnsi="Garamond" w:cs="Arial"/>
          <w:sz w:val="24"/>
          <w:szCs w:val="24"/>
          <w:lang w:val="es-ES" w:eastAsia="en-US"/>
        </w:rPr>
      </w:pPr>
      <w:r w:rsidRPr="00885568">
        <w:rPr>
          <w:rFonts w:ascii="Garamond" w:eastAsia="Arial" w:hAnsi="Garamond" w:cs="Arial"/>
          <w:sz w:val="24"/>
          <w:szCs w:val="24"/>
          <w:lang w:val="es-ES" w:eastAsia="en-US"/>
        </w:rPr>
        <w:t>Designar un supervisor que se encargará de la vigilancia, el control y el seguimiento durante la ejecución y liquidación del convenio, y un colaborador (que podrá ser el mismo supervisor), en materia del acuerdo de nivel de servicios para el intercambio de información.</w:t>
      </w:r>
    </w:p>
    <w:p w14:paraId="6F1DEA5A" w14:textId="77777777" w:rsidR="008827D0" w:rsidRPr="00885568" w:rsidRDefault="008827D0" w:rsidP="009C7530">
      <w:pPr>
        <w:pStyle w:val="Standard"/>
        <w:ind w:left="568"/>
        <w:jc w:val="both"/>
        <w:rPr>
          <w:rFonts w:ascii="Garamond" w:hAnsi="Garamond"/>
          <w:sz w:val="24"/>
          <w:szCs w:val="24"/>
          <w:lang w:val="es-ES"/>
        </w:rPr>
      </w:pPr>
    </w:p>
    <w:p w14:paraId="68FA7CCA" w14:textId="1AEF7677" w:rsidR="002408EF" w:rsidRPr="00885568" w:rsidRDefault="00012687" w:rsidP="00B94F08">
      <w:pPr>
        <w:ind w:left="284"/>
        <w:jc w:val="both"/>
        <w:rPr>
          <w:rFonts w:ascii="Garamond" w:hAnsi="Garamond" w:cstheme="minorHAnsi"/>
          <w:b/>
          <w:bCs/>
          <w:sz w:val="24"/>
          <w:szCs w:val="24"/>
        </w:rPr>
      </w:pPr>
      <w:r w:rsidRPr="00885568">
        <w:rPr>
          <w:rFonts w:ascii="Garamond" w:hAnsi="Garamond" w:cs="Arial"/>
          <w:b/>
          <w:sz w:val="24"/>
          <w:szCs w:val="24"/>
        </w:rPr>
        <w:t>8</w:t>
      </w:r>
      <w:r w:rsidR="000F60B4" w:rsidRPr="00885568">
        <w:rPr>
          <w:rFonts w:ascii="Garamond" w:hAnsi="Garamond" w:cs="Arial"/>
          <w:b/>
          <w:sz w:val="24"/>
          <w:szCs w:val="24"/>
        </w:rPr>
        <w:t xml:space="preserve">.5. </w:t>
      </w:r>
      <w:r w:rsidR="00CF5238" w:rsidRPr="00885568">
        <w:rPr>
          <w:rFonts w:ascii="Garamond" w:hAnsi="Garamond" w:cstheme="minorHAnsi"/>
          <w:b/>
          <w:bCs/>
          <w:sz w:val="24"/>
          <w:szCs w:val="24"/>
        </w:rPr>
        <w:t>COMPROMISOS DE ATENE</w:t>
      </w:r>
      <w:r w:rsidR="00B94F08" w:rsidRPr="00885568">
        <w:rPr>
          <w:rFonts w:ascii="Garamond" w:hAnsi="Garamond" w:cstheme="minorHAnsi"/>
          <w:b/>
          <w:bCs/>
          <w:sz w:val="24"/>
          <w:szCs w:val="24"/>
        </w:rPr>
        <w:t>A</w:t>
      </w:r>
    </w:p>
    <w:p w14:paraId="6FA071CB" w14:textId="77777777" w:rsidR="00F134AB" w:rsidRPr="00885568" w:rsidRDefault="00F134AB" w:rsidP="00B94F08">
      <w:pPr>
        <w:ind w:left="284"/>
        <w:jc w:val="both"/>
        <w:rPr>
          <w:rFonts w:cstheme="minorHAnsi"/>
          <w:b/>
          <w:bCs/>
          <w:sz w:val="24"/>
          <w:szCs w:val="24"/>
        </w:rPr>
      </w:pPr>
    </w:p>
    <w:p w14:paraId="24F8E1E6" w14:textId="77777777" w:rsidR="00771281" w:rsidRPr="00885568" w:rsidRDefault="00771281" w:rsidP="0055486F">
      <w:pPr>
        <w:pStyle w:val="paragraph"/>
        <w:numPr>
          <w:ilvl w:val="0"/>
          <w:numId w:val="11"/>
        </w:numPr>
        <w:shd w:val="clear" w:color="auto" w:fill="FFFFFF" w:themeFill="background1"/>
        <w:spacing w:before="0" w:beforeAutospacing="0" w:after="0" w:afterAutospacing="0"/>
        <w:ind w:left="720"/>
        <w:jc w:val="both"/>
        <w:textAlignment w:val="baseline"/>
        <w:rPr>
          <w:rFonts w:ascii="Garamond" w:eastAsia="Arial" w:hAnsi="Garamond" w:cs="Arial"/>
        </w:rPr>
      </w:pPr>
      <w:r w:rsidRPr="00885568">
        <w:rPr>
          <w:rFonts w:ascii="Garamond" w:eastAsia="Arial" w:hAnsi="Garamond" w:cs="Arial"/>
        </w:rPr>
        <w:t>Incorporar el aporte del Fondo de Desarrollo Local al presupuesto y ejecutar los Programas de Educación Posmedia según los lineamientos, manuales y documentos técnicos y operativos expedidos por la Agencia Atenea para el desarrollo los mismos.</w:t>
      </w:r>
    </w:p>
    <w:p w14:paraId="7AFF0CF8"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Diseñar, realizar y difundir las convocatorias a potenciales beneficiarios de los Programas de Educación Posmedia.</w:t>
      </w:r>
    </w:p>
    <w:p w14:paraId="25A16CD3"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commentRangeStart w:id="16"/>
      <w:r w:rsidRPr="00885568">
        <w:rPr>
          <w:rFonts w:ascii="Garamond" w:eastAsia="Arial" w:hAnsi="Garamond" w:cs="Arial"/>
          <w:sz w:val="24"/>
          <w:szCs w:val="24"/>
        </w:rPr>
        <w:t>Disponer de los recursos técnicos y/o tecnológicos requeridos para adelantar los procesos de inscripción, formalización y seguimiento a los beneficiarios de los Programas de Educación Posmedia.</w:t>
      </w:r>
      <w:commentRangeEnd w:id="16"/>
      <w:r w:rsidR="00EE0DE7">
        <w:rPr>
          <w:rStyle w:val="Refdecomentario"/>
          <w:rFonts w:ascii="Times New Roman" w:eastAsia="Times New Roman" w:hAnsi="Times New Roman" w:cs="Times New Roman"/>
          <w:kern w:val="0"/>
          <w:lang w:eastAsia="es-ES"/>
          <w14:ligatures w14:val="none"/>
        </w:rPr>
        <w:commentReference w:id="16"/>
      </w:r>
    </w:p>
    <w:p w14:paraId="3CD88F54"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Revisar y verificar el cumplimiento de los requisitos y documentos exigidos para la adjudicación de cada beneficio.</w:t>
      </w:r>
    </w:p>
    <w:p w14:paraId="5AFF5797"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Seleccionar los beneficiarios, de conformidad con el reglamento o manual operativo y los términos de cada Programa, que se definan para tal efecto.</w:t>
      </w:r>
    </w:p>
    <w:p w14:paraId="10D0200A"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 xml:space="preserve">Implementar los lineamientos, manuales, y documentos técnicos y operativos que hacen parte integral de este convenio, así como los términos de cada Programa. </w:t>
      </w:r>
    </w:p>
    <w:p w14:paraId="1B69CD7E" w14:textId="07A931D2" w:rsidR="00771281" w:rsidRPr="00885568" w:rsidRDefault="00771281" w:rsidP="0055486F">
      <w:pPr>
        <w:pStyle w:val="Prrafodelista"/>
        <w:widowControl w:val="0"/>
        <w:numPr>
          <w:ilvl w:val="0"/>
          <w:numId w:val="12"/>
        </w:numPr>
        <w:autoSpaceDE w:val="0"/>
        <w:autoSpaceDN w:val="0"/>
        <w:spacing w:after="0"/>
        <w:ind w:left="720"/>
        <w:contextualSpacing w:val="0"/>
        <w:jc w:val="both"/>
        <w:rPr>
          <w:rFonts w:ascii="Garamond" w:eastAsia="Arial" w:hAnsi="Garamond" w:cs="Arial"/>
          <w:sz w:val="24"/>
          <w:szCs w:val="24"/>
        </w:rPr>
      </w:pPr>
      <w:r w:rsidRPr="00885568">
        <w:rPr>
          <w:rFonts w:ascii="Garamond" w:eastAsia="Arial" w:hAnsi="Garamond" w:cs="Arial"/>
          <w:sz w:val="24"/>
          <w:szCs w:val="24"/>
        </w:rPr>
        <w:t>Celebrar los convenios y</w:t>
      </w:r>
      <w:r w:rsidR="000763A3">
        <w:rPr>
          <w:rFonts w:ascii="Garamond" w:eastAsia="Arial" w:hAnsi="Garamond" w:cs="Arial"/>
          <w:sz w:val="24"/>
          <w:szCs w:val="24"/>
        </w:rPr>
        <w:t xml:space="preserve">/o acuerdos con las diferentes </w:t>
      </w:r>
      <w:r w:rsidRPr="00885568">
        <w:rPr>
          <w:rStyle w:val="normaltextrun"/>
          <w:rFonts w:ascii="Garamond" w:hAnsi="Garamond" w:cs="Arial"/>
          <w:sz w:val="24"/>
          <w:szCs w:val="24"/>
        </w:rPr>
        <w:t>instituciones y operadores de formación</w:t>
      </w:r>
      <w:r w:rsidRPr="00885568">
        <w:rPr>
          <w:rFonts w:ascii="Garamond" w:eastAsia="Arial" w:hAnsi="Garamond" w:cs="Arial"/>
          <w:sz w:val="24"/>
          <w:szCs w:val="24"/>
        </w:rPr>
        <w:t xml:space="preserve"> para la ejecución de los recursos aportados por el Fondo de Desarrollo Local.</w:t>
      </w:r>
    </w:p>
    <w:p w14:paraId="44FD148B" w14:textId="38B397EC"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Realizar los desembolsos asociados al acc</w:t>
      </w:r>
      <w:r w:rsidR="000763A3">
        <w:rPr>
          <w:rFonts w:ascii="Garamond" w:eastAsia="Arial" w:hAnsi="Garamond" w:cs="Arial"/>
          <w:sz w:val="24"/>
          <w:szCs w:val="24"/>
        </w:rPr>
        <w:t xml:space="preserve">eso a las </w:t>
      </w:r>
      <w:r w:rsidRPr="00885568">
        <w:rPr>
          <w:rStyle w:val="normaltextrun"/>
          <w:rFonts w:ascii="Garamond" w:hAnsi="Garamond" w:cs="Arial"/>
          <w:sz w:val="24"/>
          <w:szCs w:val="24"/>
        </w:rPr>
        <w:t>instituciones y operadores de formación</w:t>
      </w:r>
      <w:r w:rsidRPr="00885568">
        <w:rPr>
          <w:rFonts w:ascii="Garamond" w:eastAsia="Arial" w:hAnsi="Garamond" w:cs="Arial"/>
          <w:sz w:val="24"/>
          <w:szCs w:val="24"/>
        </w:rPr>
        <w:t xml:space="preserve"> que desarrollen los programas académicos objeto del presente convenio interadministrativo.</w:t>
      </w:r>
    </w:p>
    <w:p w14:paraId="3C09F40F"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Realizar los desembolsos necesarios para garantizar la permanencia a los beneficiarios de los Programas de Educación Posmedia.</w:t>
      </w:r>
    </w:p>
    <w:p w14:paraId="64E4BBF0"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Implementar el esquema de seguimiento a las y los beneficiarios de los Programas de Educación Posmedia.</w:t>
      </w:r>
    </w:p>
    <w:p w14:paraId="360AD3E2"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Generar estrategias para promover el cumplimiento del requisito de pasantía social de los beneficiarios de los Programas de Educación Posmedia.</w:t>
      </w:r>
    </w:p>
    <w:p w14:paraId="586F5BF1"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Elaborar informes semestrales de gestión del convenio interadministrativo y comunicarlos a los supervisores designados.</w:t>
      </w:r>
    </w:p>
    <w:p w14:paraId="43271A65"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lastRenderedPageBreak/>
        <w:t>Elaborar un informe semestral de gestión técnico y financiero y entregarlo al Fondo de Desarrollo Local el último día hábil del mes siguiente al cumplimiento del corte.</w:t>
      </w:r>
    </w:p>
    <w:p w14:paraId="4E2C7978" w14:textId="77777777" w:rsidR="00771281" w:rsidRPr="00885568" w:rsidRDefault="00771281" w:rsidP="0055486F">
      <w:pPr>
        <w:pStyle w:val="Prrafodelista"/>
        <w:widowControl w:val="0"/>
        <w:numPr>
          <w:ilvl w:val="0"/>
          <w:numId w:val="12"/>
        </w:numPr>
        <w:autoSpaceDE w:val="0"/>
        <w:autoSpaceDN w:val="0"/>
        <w:spacing w:after="0" w:line="240"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Realizar la publicación del informe de gestión técnico y financiero en el SECOP II, una vez entregado al Fondo de Desarrollo Local.</w:t>
      </w:r>
    </w:p>
    <w:p w14:paraId="1B3CD633" w14:textId="77777777" w:rsidR="00771281" w:rsidRPr="00885568" w:rsidRDefault="00771281" w:rsidP="0055486F">
      <w:pPr>
        <w:pStyle w:val="Prrafodelista"/>
        <w:widowControl w:val="0"/>
        <w:numPr>
          <w:ilvl w:val="0"/>
          <w:numId w:val="12"/>
        </w:numPr>
        <w:autoSpaceDE w:val="0"/>
        <w:autoSpaceDN w:val="0"/>
        <w:spacing w:after="0"/>
        <w:ind w:left="720"/>
        <w:contextualSpacing w:val="0"/>
        <w:jc w:val="both"/>
        <w:rPr>
          <w:rFonts w:ascii="Garamond" w:eastAsia="Arial" w:hAnsi="Garamond" w:cs="Arial"/>
          <w:sz w:val="24"/>
          <w:szCs w:val="24"/>
        </w:rPr>
      </w:pPr>
      <w:r w:rsidRPr="00885568">
        <w:rPr>
          <w:rFonts w:ascii="Garamond" w:eastAsia="Arial" w:hAnsi="Garamond" w:cs="Arial"/>
          <w:sz w:val="24"/>
          <w:szCs w:val="24"/>
        </w:rPr>
        <w:t>Permitir al Fondo de Desarrollo Local el acceso a los informes y soportes necesarios para realizar el seguimiento adelantado en el marco de la supervisión, de conformidad con el acuerdo de nivel de servicios para el intercambio de información.</w:t>
      </w:r>
    </w:p>
    <w:p w14:paraId="07F221B2" w14:textId="77777777" w:rsidR="00771281" w:rsidRPr="00885568" w:rsidRDefault="00771281" w:rsidP="0055486F">
      <w:pPr>
        <w:pStyle w:val="Prrafodelista"/>
        <w:widowControl w:val="0"/>
        <w:numPr>
          <w:ilvl w:val="0"/>
          <w:numId w:val="12"/>
        </w:numPr>
        <w:autoSpaceDE w:val="0"/>
        <w:autoSpaceDN w:val="0"/>
        <w:spacing w:after="0" w:line="257" w:lineRule="auto"/>
        <w:ind w:left="720"/>
        <w:contextualSpacing w:val="0"/>
        <w:jc w:val="both"/>
        <w:textAlignment w:val="baseline"/>
        <w:rPr>
          <w:rFonts w:ascii="Garamond" w:eastAsia="Arial" w:hAnsi="Garamond" w:cs="Arial"/>
          <w:sz w:val="24"/>
          <w:szCs w:val="24"/>
        </w:rPr>
      </w:pPr>
      <w:r w:rsidRPr="00885568">
        <w:rPr>
          <w:rFonts w:ascii="Garamond" w:eastAsia="Arial" w:hAnsi="Garamond" w:cs="Arial"/>
          <w:sz w:val="24"/>
          <w:szCs w:val="24"/>
        </w:rPr>
        <w:t>Entregar un informe trimestral al Fondo de Desarrollo Local en el que se reporten las operaciones reciprocas, con fecha máxima de entrega hasta el día 10 calendario, vencido el corte respectivo, salvo para el mes de enero, cuya entrega se efectuará dentro de los 15 días calendario.</w:t>
      </w:r>
    </w:p>
    <w:p w14:paraId="45163D42" w14:textId="0249FA5E" w:rsidR="000F60B4" w:rsidRPr="00885568" w:rsidRDefault="000F60B4" w:rsidP="00723A22">
      <w:pPr>
        <w:ind w:left="360"/>
        <w:jc w:val="both"/>
        <w:rPr>
          <w:rFonts w:ascii="Garamond" w:hAnsi="Garamond" w:cs="Arial"/>
          <w:sz w:val="24"/>
          <w:szCs w:val="24"/>
        </w:rPr>
      </w:pPr>
    </w:p>
    <w:p w14:paraId="3395D79F" w14:textId="0D085304" w:rsidR="003753F7" w:rsidRPr="00885568" w:rsidRDefault="00012687" w:rsidP="003753F7">
      <w:pPr>
        <w:pStyle w:val="Standard"/>
        <w:jc w:val="both"/>
        <w:rPr>
          <w:rFonts w:ascii="Garamond" w:hAnsi="Garamond" w:cs="Arial"/>
          <w:b/>
          <w:sz w:val="24"/>
          <w:szCs w:val="24"/>
        </w:rPr>
      </w:pPr>
      <w:r w:rsidRPr="00885568">
        <w:rPr>
          <w:rFonts w:ascii="Garamond" w:hAnsi="Garamond" w:cs="Arial"/>
          <w:b/>
          <w:sz w:val="24"/>
          <w:szCs w:val="24"/>
        </w:rPr>
        <w:t>8</w:t>
      </w:r>
      <w:r w:rsidR="001E1057" w:rsidRPr="00885568">
        <w:rPr>
          <w:rFonts w:ascii="Garamond" w:hAnsi="Garamond" w:cs="Arial"/>
          <w:b/>
          <w:sz w:val="24"/>
          <w:szCs w:val="24"/>
        </w:rPr>
        <w:t xml:space="preserve">.6 </w:t>
      </w:r>
      <w:r w:rsidR="00901CEA" w:rsidRPr="00885568">
        <w:rPr>
          <w:rFonts w:ascii="Garamond" w:hAnsi="Garamond" w:cs="Arial"/>
          <w:b/>
          <w:sz w:val="24"/>
          <w:szCs w:val="24"/>
        </w:rPr>
        <w:t xml:space="preserve">COMPROMISOS </w:t>
      </w:r>
      <w:r w:rsidR="001E1057" w:rsidRPr="00885568">
        <w:rPr>
          <w:rFonts w:ascii="Garamond" w:hAnsi="Garamond" w:cs="Arial"/>
          <w:b/>
          <w:sz w:val="24"/>
          <w:szCs w:val="24"/>
        </w:rPr>
        <w:t>DEL</w:t>
      </w:r>
      <w:r w:rsidR="003753F7" w:rsidRPr="00885568">
        <w:rPr>
          <w:rFonts w:ascii="Garamond" w:hAnsi="Garamond" w:cs="Arial"/>
          <w:b/>
          <w:sz w:val="24"/>
          <w:szCs w:val="24"/>
        </w:rPr>
        <w:t xml:space="preserve"> F</w:t>
      </w:r>
      <w:r w:rsidR="001E1057" w:rsidRPr="00885568">
        <w:rPr>
          <w:rFonts w:ascii="Garamond" w:hAnsi="Garamond" w:cs="Arial"/>
          <w:b/>
          <w:sz w:val="24"/>
          <w:szCs w:val="24"/>
        </w:rPr>
        <w:t>ONDO DE D</w:t>
      </w:r>
      <w:r w:rsidR="00723A22" w:rsidRPr="00885568">
        <w:rPr>
          <w:rFonts w:ascii="Garamond" w:hAnsi="Garamond" w:cs="Arial"/>
          <w:b/>
          <w:sz w:val="24"/>
          <w:szCs w:val="24"/>
        </w:rPr>
        <w:t xml:space="preserve">ESARROLLO LOCAL DE </w:t>
      </w:r>
      <w:r w:rsidR="00560407">
        <w:rPr>
          <w:rFonts w:ascii="Garamond" w:hAnsi="Garamond" w:cs="Arial"/>
          <w:b/>
          <w:sz w:val="24"/>
          <w:szCs w:val="24"/>
        </w:rPr>
        <w:t>LOS MÁRTIRES</w:t>
      </w:r>
    </w:p>
    <w:p w14:paraId="0D6E2822" w14:textId="167DBFFD" w:rsidR="005A24F1" w:rsidRPr="00885568" w:rsidRDefault="005A24F1" w:rsidP="005A24F1">
      <w:pPr>
        <w:jc w:val="both"/>
        <w:rPr>
          <w:rFonts w:ascii="Garamond" w:hAnsi="Garamond" w:cs="Arial"/>
          <w:b/>
          <w:sz w:val="24"/>
          <w:szCs w:val="24"/>
        </w:rPr>
      </w:pPr>
    </w:p>
    <w:p w14:paraId="651707D6"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rPr>
      </w:pPr>
      <w:r w:rsidRPr="00885568">
        <w:rPr>
          <w:rFonts w:ascii="Garamond" w:eastAsia="Arial" w:hAnsi="Garamond" w:cs="Arial"/>
          <w:sz w:val="24"/>
          <w:szCs w:val="24"/>
        </w:rPr>
        <w:t>Aportar los recursos en dinero pactados en el marco del convenio para el desarrollo de los Programas de Educación Posmedia de acuerdo con los plazos y las condiciones establecidas para tal efecto.</w:t>
      </w:r>
    </w:p>
    <w:p w14:paraId="3F949454"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rPr>
      </w:pPr>
      <w:r w:rsidRPr="00885568">
        <w:rPr>
          <w:rFonts w:ascii="Garamond" w:eastAsia="Arial" w:hAnsi="Garamond" w:cs="Arial"/>
          <w:sz w:val="24"/>
          <w:szCs w:val="24"/>
        </w:rPr>
        <w:t>Adoptar las estrategias necesarias para el desarrollo de los Programas de Educación Posmedia, que permitan el cumplimiento de los objetivos y las metas locales.</w:t>
      </w:r>
    </w:p>
    <w:p w14:paraId="420B3075"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rPr>
      </w:pPr>
      <w:r w:rsidRPr="00885568">
        <w:rPr>
          <w:rFonts w:ascii="Garamond" w:eastAsia="Arial" w:hAnsi="Garamond" w:cs="Arial"/>
          <w:sz w:val="24"/>
          <w:szCs w:val="24"/>
        </w:rPr>
        <w:t xml:space="preserve">Acogerse integralmente a los lineamientos, manuales y documentos técnicos y operativos, así como al acuerdo de nivel de servicios para el intercambio de información, proferidos por la Agencia Atenea para el desarrollo de los Programas de Educación Posmedia. </w:t>
      </w:r>
    </w:p>
    <w:p w14:paraId="424EDF75"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rPr>
      </w:pPr>
      <w:commentRangeStart w:id="17"/>
      <w:r w:rsidRPr="00885568">
        <w:rPr>
          <w:rFonts w:ascii="Garamond" w:eastAsia="Arial" w:hAnsi="Garamond" w:cs="Arial"/>
          <w:color w:val="000000" w:themeColor="text1"/>
          <w:sz w:val="24"/>
          <w:szCs w:val="24"/>
        </w:rPr>
        <w:t xml:space="preserve">Realizar los espacios de gestión de conocimiento al interior del Fondo de Desarrollo Local relacionados a la operatividad de los Programas de Educación Posmedia, con el apoyo </w:t>
      </w:r>
      <w:r w:rsidRPr="00885568">
        <w:rPr>
          <w:rFonts w:ascii="Garamond" w:eastAsia="Arial" w:hAnsi="Garamond" w:cs="Arial"/>
          <w:sz w:val="24"/>
          <w:szCs w:val="24"/>
        </w:rPr>
        <w:t xml:space="preserve">de la Agencia Atenea. </w:t>
      </w:r>
      <w:commentRangeEnd w:id="17"/>
      <w:r w:rsidR="001F2006">
        <w:rPr>
          <w:rStyle w:val="Refdecomentario"/>
          <w:rFonts w:ascii="Times New Roman" w:eastAsia="Times New Roman" w:hAnsi="Times New Roman" w:cs="Times New Roman"/>
          <w:kern w:val="0"/>
          <w:lang w:eastAsia="es-ES"/>
          <w14:ligatures w14:val="none"/>
        </w:rPr>
        <w:commentReference w:id="17"/>
      </w:r>
    </w:p>
    <w:p w14:paraId="66DF5502"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lang w:val="es-MX"/>
        </w:rPr>
      </w:pPr>
      <w:commentRangeStart w:id="18"/>
      <w:r w:rsidRPr="00885568">
        <w:rPr>
          <w:rFonts w:ascii="Garamond" w:eastAsia="Arial" w:hAnsi="Garamond" w:cs="Arial"/>
          <w:sz w:val="24"/>
          <w:szCs w:val="24"/>
          <w:lang w:val="es-MX"/>
        </w:rPr>
        <w:t xml:space="preserve">Realizar actividades </w:t>
      </w:r>
      <w:commentRangeEnd w:id="18"/>
      <w:r w:rsidR="001F2006">
        <w:rPr>
          <w:rStyle w:val="Refdecomentario"/>
          <w:rFonts w:ascii="Times New Roman" w:eastAsia="Times New Roman" w:hAnsi="Times New Roman" w:cs="Times New Roman"/>
          <w:kern w:val="0"/>
          <w:lang w:eastAsia="es-ES"/>
          <w14:ligatures w14:val="none"/>
        </w:rPr>
        <w:commentReference w:id="18"/>
      </w:r>
      <w:r w:rsidRPr="00885568">
        <w:rPr>
          <w:rFonts w:ascii="Garamond" w:eastAsia="Arial" w:hAnsi="Garamond" w:cs="Arial"/>
          <w:sz w:val="24"/>
          <w:szCs w:val="24"/>
          <w:lang w:val="es-MX"/>
        </w:rPr>
        <w:t xml:space="preserve">para la socialización de la oferta de la Agencia Atenea a nivel Distrital, dirigidas a las y los potenciales beneficiarios de los Programas de Educación Posmedia. </w:t>
      </w:r>
    </w:p>
    <w:p w14:paraId="20CD0ED6" w14:textId="401B5948"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lang w:val="es-MX"/>
        </w:rPr>
      </w:pPr>
      <w:commentRangeStart w:id="19"/>
      <w:r w:rsidRPr="00885568">
        <w:rPr>
          <w:rFonts w:ascii="Garamond" w:eastAsia="Arial" w:hAnsi="Garamond" w:cs="Arial"/>
          <w:sz w:val="24"/>
          <w:szCs w:val="24"/>
          <w:lang w:val="es-MX"/>
        </w:rPr>
        <w:t xml:space="preserve">Financiar las acciones de bienestar definidas por la Agencia Atenea para fomentar el acceso y la permanencia, las cuales podrán ser ejecutadas en colaboración con las </w:t>
      </w:r>
      <w:r w:rsidR="008E5515" w:rsidRPr="00885568">
        <w:rPr>
          <w:rFonts w:ascii="Garamond" w:eastAsia="Arial" w:hAnsi="Garamond" w:cs="Arial"/>
          <w:sz w:val="24"/>
          <w:szCs w:val="24"/>
        </w:rPr>
        <w:t>instituciones</w:t>
      </w:r>
      <w:r w:rsidRPr="00885568">
        <w:rPr>
          <w:rFonts w:ascii="Garamond" w:eastAsia="Arial" w:hAnsi="Garamond" w:cs="Arial"/>
          <w:sz w:val="24"/>
          <w:szCs w:val="24"/>
        </w:rPr>
        <w:t xml:space="preserve"> y operadores de formación </w:t>
      </w:r>
      <w:r w:rsidRPr="00885568">
        <w:rPr>
          <w:rFonts w:ascii="Garamond" w:eastAsia="Arial" w:hAnsi="Garamond" w:cs="Arial"/>
          <w:sz w:val="24"/>
          <w:szCs w:val="24"/>
          <w:lang w:val="es-MX"/>
        </w:rPr>
        <w:t>dirigidas a los beneficiarios.</w:t>
      </w:r>
      <w:commentRangeEnd w:id="19"/>
      <w:r w:rsidR="001F2006">
        <w:rPr>
          <w:rStyle w:val="Refdecomentario"/>
          <w:rFonts w:ascii="Times New Roman" w:eastAsia="Times New Roman" w:hAnsi="Times New Roman" w:cs="Times New Roman"/>
          <w:kern w:val="0"/>
          <w:lang w:eastAsia="es-ES"/>
          <w14:ligatures w14:val="none"/>
        </w:rPr>
        <w:commentReference w:id="19"/>
      </w:r>
    </w:p>
    <w:p w14:paraId="75BEEACD"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rPr>
      </w:pPr>
      <w:commentRangeStart w:id="20"/>
      <w:r w:rsidRPr="00885568">
        <w:rPr>
          <w:rFonts w:ascii="Garamond" w:eastAsia="Arial" w:hAnsi="Garamond" w:cs="Arial"/>
          <w:sz w:val="24"/>
          <w:szCs w:val="24"/>
        </w:rPr>
        <w:t xml:space="preserve">Ofrecer opciones de pasantía social para los beneficiarios de la localidad de los Programas de Educación Posmedia, teniendo en cuenta las categorías temáticas y el catálogo de actividades, y realizar el seguimiento al cumplimiento de este requisito durante el tiempo de formación. </w:t>
      </w:r>
      <w:commentRangeEnd w:id="20"/>
      <w:r w:rsidR="001F2006">
        <w:rPr>
          <w:rStyle w:val="Refdecomentario"/>
          <w:rFonts w:ascii="Times New Roman" w:eastAsia="Times New Roman" w:hAnsi="Times New Roman" w:cs="Times New Roman"/>
          <w:kern w:val="0"/>
          <w:lang w:eastAsia="es-ES"/>
          <w14:ligatures w14:val="none"/>
        </w:rPr>
        <w:commentReference w:id="20"/>
      </w:r>
    </w:p>
    <w:p w14:paraId="3842AA1E"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rPr>
      </w:pPr>
      <w:r w:rsidRPr="00885568">
        <w:rPr>
          <w:rFonts w:ascii="Garamond" w:eastAsia="Arial" w:hAnsi="Garamond" w:cs="Arial"/>
          <w:sz w:val="24"/>
          <w:szCs w:val="24"/>
        </w:rPr>
        <w:t>Facilitar espacios con entidades e instituciones del sector público o privado con presencia en la localidad, para que los beneficiarios de los Programas de Educación Posmedia cuenten con alternativas para cumplir con el requisito de pasantía social, asegurando actividades que respondan a las necesidades de la localidad y generando arraigo por la misma.</w:t>
      </w:r>
    </w:p>
    <w:p w14:paraId="70850D3F"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lang w:val="es-MX"/>
        </w:rPr>
      </w:pPr>
      <w:commentRangeStart w:id="21"/>
      <w:r w:rsidRPr="00885568">
        <w:rPr>
          <w:rFonts w:ascii="Garamond" w:eastAsia="Arial" w:hAnsi="Garamond" w:cs="Arial"/>
          <w:sz w:val="24"/>
          <w:szCs w:val="24"/>
          <w:lang w:val="es-MX"/>
        </w:rPr>
        <w:t xml:space="preserve">Articular y facilitar con la Agencia Atenea las acciones de atención y seguimiento que se </w:t>
      </w:r>
      <w:r w:rsidRPr="00885568">
        <w:rPr>
          <w:rFonts w:ascii="Garamond" w:eastAsia="Arial" w:hAnsi="Garamond" w:cs="Arial"/>
          <w:sz w:val="24"/>
          <w:szCs w:val="24"/>
          <w:lang w:val="es-MX"/>
        </w:rPr>
        <w:lastRenderedPageBreak/>
        <w:t>requieran en el marco del esquema de seguimiento personalizado a los beneficiarios de los Programas de Educación Posmedia, que permita identificar necesidades específicas y activar rutas de atención, garantizando una intervención integral y oportuna.</w:t>
      </w:r>
      <w:commentRangeEnd w:id="21"/>
      <w:r w:rsidR="001F2006">
        <w:rPr>
          <w:rStyle w:val="Refdecomentario"/>
          <w:rFonts w:ascii="Times New Roman" w:eastAsia="Times New Roman" w:hAnsi="Times New Roman" w:cs="Times New Roman"/>
          <w:kern w:val="0"/>
          <w:lang w:eastAsia="es-ES"/>
          <w14:ligatures w14:val="none"/>
        </w:rPr>
        <w:commentReference w:id="21"/>
      </w:r>
    </w:p>
    <w:p w14:paraId="3B5A2D9C"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lang w:val="es-MX"/>
        </w:rPr>
      </w:pPr>
      <w:r w:rsidRPr="00885568">
        <w:rPr>
          <w:rFonts w:ascii="Garamond" w:eastAsia="Arial" w:hAnsi="Garamond" w:cs="Arial"/>
          <w:sz w:val="24"/>
          <w:szCs w:val="24"/>
          <w:lang w:val="es-MX"/>
        </w:rPr>
        <w:t xml:space="preserve">Apoyar la validación de la información de los beneficiarios de la localidad, cuando sea requerido. </w:t>
      </w:r>
    </w:p>
    <w:p w14:paraId="0D94A01A" w14:textId="77777777" w:rsidR="00B356DD" w:rsidRPr="00885568" w:rsidRDefault="00B356DD" w:rsidP="0055486F">
      <w:pPr>
        <w:pStyle w:val="Prrafodelista"/>
        <w:widowControl w:val="0"/>
        <w:numPr>
          <w:ilvl w:val="0"/>
          <w:numId w:val="13"/>
        </w:numPr>
        <w:autoSpaceDE w:val="0"/>
        <w:autoSpaceDN w:val="0"/>
        <w:spacing w:after="0" w:line="240" w:lineRule="auto"/>
        <w:contextualSpacing w:val="0"/>
        <w:jc w:val="both"/>
        <w:rPr>
          <w:rFonts w:ascii="Garamond" w:eastAsia="Arial" w:hAnsi="Garamond" w:cs="Arial"/>
          <w:sz w:val="24"/>
          <w:szCs w:val="24"/>
          <w:lang w:val="es-MX"/>
        </w:rPr>
      </w:pPr>
      <w:r w:rsidRPr="00885568">
        <w:rPr>
          <w:rFonts w:ascii="Garamond" w:eastAsia="Arial" w:hAnsi="Garamond" w:cs="Arial"/>
          <w:sz w:val="24"/>
          <w:szCs w:val="24"/>
          <w:lang w:val="es-MX"/>
        </w:rPr>
        <w:t xml:space="preserve">Designar los enlaces del Fondo de Desarrollo Local para el acceso a la información, garantizando las condiciones necesarias para mantener la confidencialidad y el tratamiento adecuado de la información de los beneficiarios de los Programas de Educación Posmedia, en el marco del </w:t>
      </w:r>
      <w:r w:rsidRPr="00885568">
        <w:rPr>
          <w:rFonts w:ascii="Garamond" w:eastAsia="Arial" w:hAnsi="Garamond" w:cs="Arial"/>
          <w:sz w:val="24"/>
          <w:szCs w:val="24"/>
          <w:lang w:val="es"/>
        </w:rPr>
        <w:t>Acuerdo nivel servicios e intercambio información</w:t>
      </w:r>
      <w:r w:rsidRPr="00885568">
        <w:rPr>
          <w:rFonts w:ascii="Garamond" w:eastAsia="Arial" w:hAnsi="Garamond" w:cs="Arial"/>
          <w:sz w:val="24"/>
          <w:szCs w:val="24"/>
          <w:lang w:val="es-MX"/>
        </w:rPr>
        <w:t>.</w:t>
      </w:r>
    </w:p>
    <w:p w14:paraId="753367C6" w14:textId="11FCB834" w:rsidR="007D7B7B" w:rsidRPr="00885568" w:rsidRDefault="0092271A" w:rsidP="00B356DD">
      <w:pPr>
        <w:tabs>
          <w:tab w:val="left" w:pos="2652"/>
        </w:tabs>
        <w:jc w:val="both"/>
        <w:rPr>
          <w:rFonts w:ascii="Garamond" w:hAnsi="Garamond" w:cstheme="minorHAnsi"/>
          <w:sz w:val="24"/>
          <w:szCs w:val="24"/>
        </w:rPr>
      </w:pPr>
      <w:r w:rsidRPr="00885568">
        <w:rPr>
          <w:rFonts w:ascii="Garamond" w:hAnsi="Garamond" w:cstheme="minorHAnsi"/>
          <w:sz w:val="24"/>
          <w:szCs w:val="24"/>
        </w:rPr>
        <w:tab/>
      </w:r>
    </w:p>
    <w:p w14:paraId="7E534754" w14:textId="4AF25702" w:rsidR="005A24F1" w:rsidRPr="00885568" w:rsidRDefault="00012687" w:rsidP="005A24F1">
      <w:pPr>
        <w:jc w:val="both"/>
        <w:rPr>
          <w:rFonts w:ascii="Garamond" w:hAnsi="Garamond" w:cs="Arial"/>
          <w:b/>
          <w:sz w:val="24"/>
          <w:szCs w:val="24"/>
        </w:rPr>
      </w:pPr>
      <w:r w:rsidRPr="00885568">
        <w:rPr>
          <w:rFonts w:ascii="Garamond" w:hAnsi="Garamond" w:cs="Arial"/>
          <w:b/>
          <w:sz w:val="24"/>
          <w:szCs w:val="24"/>
        </w:rPr>
        <w:t>8</w:t>
      </w:r>
      <w:r w:rsidR="005A24F1" w:rsidRPr="00885568">
        <w:rPr>
          <w:rFonts w:ascii="Garamond" w:hAnsi="Garamond" w:cs="Arial"/>
          <w:b/>
          <w:sz w:val="24"/>
          <w:szCs w:val="24"/>
        </w:rPr>
        <w:t>.7</w:t>
      </w:r>
      <w:r w:rsidR="0020468E" w:rsidRPr="00885568">
        <w:rPr>
          <w:rFonts w:ascii="Garamond" w:hAnsi="Garamond" w:cs="Arial"/>
          <w:b/>
          <w:sz w:val="24"/>
          <w:szCs w:val="24"/>
        </w:rPr>
        <w:t>.</w:t>
      </w:r>
      <w:r w:rsidR="005A24F1" w:rsidRPr="00885568">
        <w:rPr>
          <w:rFonts w:ascii="Garamond" w:hAnsi="Garamond" w:cs="Arial"/>
          <w:b/>
          <w:sz w:val="24"/>
          <w:szCs w:val="24"/>
        </w:rPr>
        <w:t xml:space="preserve"> SUPERVISIÓN</w:t>
      </w:r>
    </w:p>
    <w:p w14:paraId="3703E8FB" w14:textId="77777777" w:rsidR="00A8560D" w:rsidRPr="00885568" w:rsidRDefault="00A8560D" w:rsidP="00B34CDE">
      <w:pPr>
        <w:jc w:val="both"/>
        <w:rPr>
          <w:rFonts w:ascii="Garamond" w:hAnsi="Garamond" w:cs="Arial"/>
          <w:sz w:val="24"/>
          <w:szCs w:val="24"/>
        </w:rPr>
      </w:pPr>
    </w:p>
    <w:p w14:paraId="5D403688" w14:textId="23CE28E7" w:rsidR="00B34CDE" w:rsidRPr="00885568" w:rsidRDefault="00B34CDE" w:rsidP="00B34CDE">
      <w:pPr>
        <w:jc w:val="both"/>
        <w:rPr>
          <w:rStyle w:val="normaltextrun"/>
          <w:rFonts w:ascii="Garamond" w:hAnsi="Garamond" w:cs="Arial"/>
          <w:sz w:val="24"/>
          <w:szCs w:val="24"/>
          <w:lang w:eastAsia="es-CO"/>
        </w:rPr>
      </w:pPr>
      <w:r w:rsidRPr="00885568">
        <w:rPr>
          <w:rStyle w:val="normaltextrun"/>
          <w:rFonts w:ascii="Garamond" w:hAnsi="Garamond" w:cs="Arial"/>
          <w:sz w:val="24"/>
          <w:szCs w:val="24"/>
          <w:lang w:eastAsia="es-CO"/>
        </w:rPr>
        <w:t>El control a la ejecución o supervisión será ejercido por:</w:t>
      </w:r>
    </w:p>
    <w:p w14:paraId="0378EC2B" w14:textId="77777777" w:rsidR="00B34CDE" w:rsidRPr="00885568" w:rsidRDefault="00B34CDE" w:rsidP="00B34CDE">
      <w:pPr>
        <w:jc w:val="both"/>
        <w:rPr>
          <w:rStyle w:val="normaltextrun"/>
          <w:rFonts w:ascii="Garamond" w:hAnsi="Garamond" w:cs="Arial"/>
          <w:sz w:val="24"/>
          <w:szCs w:val="24"/>
          <w:lang w:eastAsia="es-CO"/>
        </w:rPr>
      </w:pPr>
    </w:p>
    <w:p w14:paraId="5108E6DE" w14:textId="77777777" w:rsidR="00B34CDE" w:rsidRPr="00885568" w:rsidRDefault="00B34CDE" w:rsidP="00B34CDE">
      <w:pPr>
        <w:jc w:val="both"/>
        <w:rPr>
          <w:rStyle w:val="normaltextrun"/>
          <w:rFonts w:ascii="Garamond" w:hAnsi="Garamond" w:cs="Arial"/>
          <w:sz w:val="24"/>
          <w:szCs w:val="24"/>
          <w:lang w:eastAsia="es-CO"/>
        </w:rPr>
      </w:pPr>
      <w:r w:rsidRPr="00885568">
        <w:rPr>
          <w:rStyle w:val="normaltextrun"/>
          <w:rFonts w:ascii="Garamond" w:hAnsi="Garamond" w:cs="Arial"/>
          <w:b/>
          <w:bCs/>
          <w:sz w:val="24"/>
          <w:szCs w:val="24"/>
          <w:lang w:eastAsia="es-CO"/>
        </w:rPr>
        <w:t>ATENEA:</w:t>
      </w:r>
      <w:r w:rsidRPr="00885568">
        <w:rPr>
          <w:rStyle w:val="normaltextrun"/>
          <w:rFonts w:ascii="Garamond" w:hAnsi="Garamond" w:cs="Arial"/>
          <w:sz w:val="24"/>
          <w:szCs w:val="24"/>
          <w:lang w:eastAsia="es-CO"/>
        </w:rPr>
        <w:t xml:space="preserve"> Por la Gerencia de Educación Posmedia o por quien designe por escrito el Ordenador del Gasto, lo cual será oportunamente informado a la otra parte, quien deberá dar aplicación al Manual de Contratación y/o el Manual de Supervisión e Interventoría de ATENEA y sus respectivas modificaciones o adiciones.</w:t>
      </w:r>
      <w:r w:rsidRPr="00885568">
        <w:rPr>
          <w:rFonts w:ascii="Garamond" w:hAnsi="Garamond"/>
          <w:sz w:val="24"/>
          <w:szCs w:val="24"/>
        </w:rPr>
        <w:tab/>
      </w:r>
    </w:p>
    <w:p w14:paraId="5D8DA3CB" w14:textId="77777777" w:rsidR="00B34CDE" w:rsidRPr="00885568" w:rsidRDefault="00B34CDE" w:rsidP="00B34CDE">
      <w:pPr>
        <w:jc w:val="both"/>
        <w:rPr>
          <w:rStyle w:val="normaltextrun"/>
          <w:rFonts w:ascii="Garamond" w:hAnsi="Garamond" w:cs="Arial"/>
          <w:sz w:val="24"/>
          <w:szCs w:val="24"/>
          <w:lang w:eastAsia="es-CO"/>
        </w:rPr>
      </w:pPr>
    </w:p>
    <w:p w14:paraId="1DD19816" w14:textId="77777777" w:rsidR="00B34CDE" w:rsidRPr="00885568" w:rsidRDefault="00B34CDE" w:rsidP="00B34CDE">
      <w:pPr>
        <w:jc w:val="both"/>
        <w:rPr>
          <w:rStyle w:val="normaltextrun"/>
          <w:rFonts w:ascii="Garamond" w:hAnsi="Garamond" w:cs="Arial"/>
          <w:sz w:val="24"/>
          <w:szCs w:val="24"/>
          <w:lang w:eastAsia="es-CO"/>
        </w:rPr>
      </w:pPr>
      <w:r w:rsidRPr="00885568">
        <w:rPr>
          <w:rStyle w:val="normaltextrun"/>
          <w:rFonts w:ascii="Garamond" w:hAnsi="Garamond" w:cs="Arial"/>
          <w:b/>
          <w:bCs/>
          <w:sz w:val="24"/>
          <w:szCs w:val="24"/>
          <w:lang w:eastAsia="es-CO"/>
        </w:rPr>
        <w:t>FONDOS DE DESARROLLO LOCAL - FDL</w:t>
      </w:r>
      <w:r w:rsidRPr="00885568">
        <w:rPr>
          <w:rStyle w:val="normaltextrun"/>
          <w:rFonts w:ascii="Garamond" w:hAnsi="Garamond" w:cs="Arial"/>
          <w:sz w:val="24"/>
          <w:szCs w:val="24"/>
          <w:lang w:eastAsia="es-CO"/>
        </w:rPr>
        <w:t>: Por el alcalde y/o alcaldesa Local del Fondo de Desarrollo Local o por quien designe, quien deberá dar aplicación al Manual de Contratación y/o el Manual de Supervisión e Interventoría de la Secretaría de Gobierno y sus respectivas modificaciones o adiciones.</w:t>
      </w:r>
    </w:p>
    <w:p w14:paraId="10CC3941" w14:textId="77777777" w:rsidR="0079674E" w:rsidRPr="00885568" w:rsidRDefault="0079674E" w:rsidP="004E35F6">
      <w:pPr>
        <w:jc w:val="both"/>
        <w:rPr>
          <w:rFonts w:ascii="Garamond" w:hAnsi="Garamond" w:cs="Arial"/>
          <w:color w:val="808080" w:themeColor="background1" w:themeShade="80"/>
          <w:sz w:val="24"/>
          <w:szCs w:val="24"/>
        </w:rPr>
      </w:pPr>
    </w:p>
    <w:p w14:paraId="3F173005" w14:textId="305E40D8" w:rsidR="004E35F6" w:rsidRPr="00885568" w:rsidRDefault="004E35F6" w:rsidP="004E35F6">
      <w:pPr>
        <w:jc w:val="both"/>
        <w:rPr>
          <w:rFonts w:ascii="Garamond" w:hAnsi="Garamond" w:cs="Arial"/>
          <w:b/>
          <w:bCs/>
          <w:sz w:val="24"/>
          <w:szCs w:val="24"/>
        </w:rPr>
      </w:pPr>
      <w:r w:rsidRPr="00885568">
        <w:rPr>
          <w:rFonts w:ascii="Garamond" w:hAnsi="Garamond" w:cs="Arial"/>
          <w:b/>
          <w:bCs/>
          <w:sz w:val="24"/>
          <w:szCs w:val="24"/>
        </w:rPr>
        <w:t>8.</w:t>
      </w:r>
      <w:r w:rsidR="00020EA0" w:rsidRPr="00885568">
        <w:rPr>
          <w:rFonts w:ascii="Garamond" w:hAnsi="Garamond" w:cs="Arial"/>
          <w:b/>
          <w:bCs/>
          <w:sz w:val="24"/>
          <w:szCs w:val="24"/>
        </w:rPr>
        <w:t>8</w:t>
      </w:r>
      <w:r w:rsidRPr="00885568">
        <w:rPr>
          <w:rFonts w:ascii="Garamond" w:hAnsi="Garamond" w:cs="Arial"/>
          <w:b/>
          <w:bCs/>
          <w:sz w:val="24"/>
          <w:szCs w:val="24"/>
        </w:rPr>
        <w:t xml:space="preserve"> LIQUIDACIÓN</w:t>
      </w:r>
    </w:p>
    <w:p w14:paraId="40017B54" w14:textId="77777777" w:rsidR="000E327D" w:rsidRPr="00885568" w:rsidRDefault="000E327D" w:rsidP="005A24F1">
      <w:pPr>
        <w:jc w:val="both"/>
        <w:rPr>
          <w:rFonts w:ascii="Garamond" w:hAnsi="Garamond" w:cs="Arial"/>
          <w:sz w:val="24"/>
          <w:szCs w:val="24"/>
        </w:rPr>
      </w:pPr>
    </w:p>
    <w:p w14:paraId="0F0905A4" w14:textId="77777777" w:rsidR="00F9170C" w:rsidRPr="00885568" w:rsidRDefault="00F9170C" w:rsidP="00F9170C">
      <w:pPr>
        <w:pStyle w:val="paragraph"/>
        <w:spacing w:before="0" w:beforeAutospacing="0" w:after="0" w:afterAutospacing="0"/>
        <w:jc w:val="both"/>
        <w:textAlignment w:val="baseline"/>
        <w:rPr>
          <w:rFonts w:ascii="Garamond" w:hAnsi="Garamond" w:cs="Arial"/>
        </w:rPr>
      </w:pPr>
      <w:r w:rsidRPr="00885568">
        <w:rPr>
          <w:rFonts w:ascii="Garamond" w:hAnsi="Garamond" w:cs="Arial"/>
        </w:rPr>
        <w:t xml:space="preserve">Dentro de los términos previstos en el artículo 11 de la Ley 1150 de 2007, contados desde la fecha de finalización del convenio interadministrativo, o de la fecha de expedición del acto que ordene la terminación o de la fecha del acuerdo que lo disponga, el FONDO DE DESARROLLO LOCAL y el supervisor designado por parte de la  AGENCIA ATENEA, suscribirán un acta de liquidación en donde se incluirá el estado contable del convenio interadministrativo, el valor final del mismo, así como la certificación del cumplimiento de las obligaciones adquiridas y la descripción de las actividades adelantadas con sus respectivas fechas de iniciación y terminación. </w:t>
      </w:r>
    </w:p>
    <w:p w14:paraId="4558B8B7" w14:textId="0DC5CB71" w:rsidR="00B94F08" w:rsidRPr="00885568" w:rsidRDefault="00B94F08" w:rsidP="005A24F1">
      <w:pPr>
        <w:jc w:val="both"/>
        <w:rPr>
          <w:rFonts w:ascii="Garamond" w:hAnsi="Garamond" w:cs="Arial"/>
          <w:sz w:val="24"/>
          <w:szCs w:val="24"/>
        </w:rPr>
      </w:pPr>
    </w:p>
    <w:p w14:paraId="23030E9E" w14:textId="2187E924" w:rsidR="005A24F1" w:rsidRPr="00885568" w:rsidRDefault="00012687" w:rsidP="005A24F1">
      <w:pPr>
        <w:jc w:val="both"/>
        <w:rPr>
          <w:rFonts w:ascii="Garamond" w:hAnsi="Garamond" w:cs="Arial"/>
          <w:b/>
          <w:bCs/>
          <w:color w:val="000000"/>
          <w:sz w:val="24"/>
          <w:szCs w:val="24"/>
        </w:rPr>
      </w:pPr>
      <w:r w:rsidRPr="00885568">
        <w:rPr>
          <w:rFonts w:ascii="Garamond" w:hAnsi="Garamond" w:cs="Arial"/>
          <w:b/>
          <w:bCs/>
          <w:color w:val="000000"/>
          <w:sz w:val="24"/>
          <w:szCs w:val="24"/>
        </w:rPr>
        <w:t>8</w:t>
      </w:r>
      <w:r w:rsidR="005A24F1" w:rsidRPr="00885568">
        <w:rPr>
          <w:rFonts w:ascii="Garamond" w:hAnsi="Garamond" w:cs="Arial"/>
          <w:b/>
          <w:bCs/>
          <w:color w:val="000000"/>
          <w:sz w:val="24"/>
          <w:szCs w:val="24"/>
        </w:rPr>
        <w:t>.</w:t>
      </w:r>
      <w:r w:rsidR="00020EA0" w:rsidRPr="00885568">
        <w:rPr>
          <w:rFonts w:ascii="Garamond" w:hAnsi="Garamond" w:cs="Arial"/>
          <w:b/>
          <w:bCs/>
          <w:color w:val="000000"/>
          <w:sz w:val="24"/>
          <w:szCs w:val="24"/>
        </w:rPr>
        <w:t>9</w:t>
      </w:r>
      <w:r w:rsidR="005A24F1" w:rsidRPr="00885568">
        <w:rPr>
          <w:rFonts w:ascii="Garamond" w:hAnsi="Garamond" w:cs="Arial"/>
          <w:b/>
          <w:bCs/>
          <w:color w:val="000000"/>
          <w:sz w:val="24"/>
          <w:szCs w:val="24"/>
        </w:rPr>
        <w:t xml:space="preserve"> FORMATO DE PROPUESTA ECONÓMICA</w:t>
      </w:r>
    </w:p>
    <w:p w14:paraId="07290265" w14:textId="2A417602" w:rsidR="00646227" w:rsidRPr="00885568" w:rsidRDefault="00646227" w:rsidP="00EB7DC3">
      <w:pPr>
        <w:jc w:val="both"/>
        <w:rPr>
          <w:rFonts w:ascii="Garamond" w:hAnsi="Garamond" w:cs="Arial"/>
          <w:color w:val="808080" w:themeColor="background1" w:themeShade="80"/>
          <w:sz w:val="24"/>
          <w:szCs w:val="24"/>
        </w:rPr>
      </w:pPr>
    </w:p>
    <w:p w14:paraId="3773D743" w14:textId="3E0D1F59" w:rsidR="00646227" w:rsidRPr="00885568" w:rsidRDefault="00251006" w:rsidP="00EB7DC3">
      <w:pPr>
        <w:jc w:val="both"/>
        <w:rPr>
          <w:rFonts w:ascii="Garamond" w:hAnsi="Garamond" w:cs="Arial"/>
          <w:sz w:val="24"/>
          <w:szCs w:val="24"/>
        </w:rPr>
      </w:pPr>
      <w:r w:rsidRPr="00885568">
        <w:rPr>
          <w:rFonts w:ascii="Garamond" w:hAnsi="Garamond" w:cs="Arial"/>
          <w:sz w:val="24"/>
          <w:szCs w:val="24"/>
        </w:rPr>
        <w:t>En el presente estudio preliminar, no se considerará la propuesta económica debido a la modalidad directa de contratación.</w:t>
      </w:r>
    </w:p>
    <w:p w14:paraId="4960979F" w14:textId="77777777" w:rsidR="00434335" w:rsidRPr="00885568" w:rsidRDefault="00434335" w:rsidP="00E252A8">
      <w:pPr>
        <w:jc w:val="both"/>
        <w:rPr>
          <w:rFonts w:ascii="Garamond" w:hAnsi="Garamond" w:cs="Arial"/>
          <w:color w:val="808080"/>
          <w:sz w:val="24"/>
          <w:szCs w:val="24"/>
        </w:rPr>
      </w:pPr>
    </w:p>
    <w:p w14:paraId="19A57B6B" w14:textId="52B2FC29" w:rsidR="00012687" w:rsidRPr="00885568" w:rsidRDefault="00012687" w:rsidP="00012687">
      <w:pPr>
        <w:jc w:val="both"/>
        <w:rPr>
          <w:rFonts w:ascii="Garamond" w:hAnsi="Garamond" w:cs="Arial"/>
          <w:b/>
          <w:bCs/>
          <w:color w:val="000000"/>
          <w:sz w:val="24"/>
          <w:szCs w:val="24"/>
        </w:rPr>
      </w:pPr>
      <w:r w:rsidRPr="00885568">
        <w:rPr>
          <w:rFonts w:ascii="Garamond" w:hAnsi="Garamond" w:cs="Arial"/>
          <w:b/>
          <w:bCs/>
          <w:color w:val="000000"/>
          <w:sz w:val="24"/>
          <w:szCs w:val="24"/>
        </w:rPr>
        <w:t>8.</w:t>
      </w:r>
      <w:r w:rsidR="00020EA0" w:rsidRPr="00885568">
        <w:rPr>
          <w:rFonts w:ascii="Garamond" w:hAnsi="Garamond" w:cs="Arial"/>
          <w:b/>
          <w:bCs/>
          <w:color w:val="000000"/>
          <w:sz w:val="24"/>
          <w:szCs w:val="24"/>
        </w:rPr>
        <w:t>10</w:t>
      </w:r>
      <w:r w:rsidRPr="00885568">
        <w:rPr>
          <w:rFonts w:ascii="Garamond" w:hAnsi="Garamond" w:cs="Arial"/>
          <w:b/>
          <w:bCs/>
          <w:color w:val="000000"/>
          <w:sz w:val="24"/>
          <w:szCs w:val="24"/>
        </w:rPr>
        <w:t xml:space="preserve"> COMITÉ TÉCNICO</w:t>
      </w:r>
    </w:p>
    <w:p w14:paraId="37808F9B" w14:textId="0109FE67" w:rsidR="00865432" w:rsidRPr="00885568" w:rsidRDefault="00865432" w:rsidP="00012687">
      <w:pPr>
        <w:jc w:val="both"/>
        <w:rPr>
          <w:rFonts w:ascii="Garamond" w:hAnsi="Garamond" w:cs="Arial"/>
          <w:b/>
          <w:bCs/>
          <w:color w:val="000000"/>
          <w:sz w:val="24"/>
          <w:szCs w:val="24"/>
        </w:rPr>
      </w:pPr>
    </w:p>
    <w:p w14:paraId="673559D5" w14:textId="77777777" w:rsidR="001F1468" w:rsidRPr="00885568" w:rsidRDefault="001F1468" w:rsidP="001F1468">
      <w:pPr>
        <w:pStyle w:val="paragraph"/>
        <w:spacing w:before="0" w:beforeAutospacing="0" w:after="0" w:afterAutospacing="0"/>
        <w:jc w:val="both"/>
        <w:textAlignment w:val="baseline"/>
        <w:rPr>
          <w:rStyle w:val="eop"/>
          <w:rFonts w:ascii="Garamond" w:eastAsia="Verdana" w:hAnsi="Garamond" w:cs="Arial"/>
        </w:rPr>
      </w:pPr>
      <w:r w:rsidRPr="00885568">
        <w:rPr>
          <w:rStyle w:val="normaltextrun"/>
          <w:rFonts w:ascii="Garamond" w:hAnsi="Garamond" w:cs="Arial"/>
        </w:rPr>
        <w:t xml:space="preserve">El </w:t>
      </w:r>
      <w:r w:rsidRPr="00885568">
        <w:rPr>
          <w:rStyle w:val="findhit"/>
          <w:rFonts w:ascii="Garamond" w:hAnsi="Garamond" w:cs="Arial"/>
        </w:rPr>
        <w:t>Comité</w:t>
      </w:r>
      <w:r w:rsidRPr="00885568">
        <w:rPr>
          <w:rStyle w:val="normaltextrun"/>
          <w:rFonts w:ascii="Garamond" w:hAnsi="Garamond" w:cs="Arial"/>
        </w:rPr>
        <w:t xml:space="preserve"> Técnico de Seguimiento del convenio no se constituirá como una instancia de toma de decisiones, en el marco de la ejecución del objeto del convenio interadministrativo; a nivel de la AGENCIA ATENEA existe un </w:t>
      </w:r>
      <w:r w:rsidRPr="00885568">
        <w:rPr>
          <w:rStyle w:val="findhit"/>
          <w:rFonts w:ascii="Garamond" w:hAnsi="Garamond" w:cs="Arial"/>
        </w:rPr>
        <w:t>comité</w:t>
      </w:r>
      <w:r w:rsidRPr="00885568">
        <w:rPr>
          <w:rStyle w:val="normaltextrun"/>
          <w:rFonts w:ascii="Garamond" w:hAnsi="Garamond" w:cs="Arial"/>
        </w:rPr>
        <w:t xml:space="preserve"> de los programas de posmedia (de acuerdo con la Resolución No. 39 de 2022 modificada por la resolución 24 de 2023), que se encargará de evaluar todas las actuaciones del programa, no obstante, se puede realizar una retroalimentación y compartir la información de los lineamientos.</w:t>
      </w:r>
      <w:r w:rsidRPr="00885568">
        <w:rPr>
          <w:rStyle w:val="eop"/>
          <w:rFonts w:ascii="Garamond" w:eastAsia="Verdana" w:hAnsi="Garamond" w:cs="Arial"/>
        </w:rPr>
        <w:t> </w:t>
      </w:r>
    </w:p>
    <w:p w14:paraId="60E199AF" w14:textId="6502AF9F" w:rsidR="00962D4E" w:rsidRPr="00885568" w:rsidRDefault="00962D4E" w:rsidP="000E327D">
      <w:pPr>
        <w:jc w:val="both"/>
        <w:rPr>
          <w:rFonts w:ascii="Garamond" w:hAnsi="Garamond" w:cs="Arial"/>
          <w:b/>
          <w:bCs/>
          <w:color w:val="000000"/>
          <w:sz w:val="24"/>
          <w:szCs w:val="24"/>
        </w:rPr>
      </w:pPr>
    </w:p>
    <w:p w14:paraId="56D2A7D1" w14:textId="25880FDF" w:rsidR="00962D4E" w:rsidRPr="00885568" w:rsidRDefault="00962D4E" w:rsidP="00962D4E">
      <w:pPr>
        <w:jc w:val="both"/>
        <w:rPr>
          <w:rFonts w:ascii="Garamond" w:hAnsi="Garamond" w:cs="Arial"/>
          <w:b/>
          <w:bCs/>
          <w:color w:val="000000"/>
          <w:sz w:val="24"/>
          <w:szCs w:val="24"/>
        </w:rPr>
      </w:pPr>
      <w:r w:rsidRPr="00885568">
        <w:rPr>
          <w:rFonts w:ascii="Garamond" w:hAnsi="Garamond" w:cs="Arial"/>
          <w:b/>
          <w:bCs/>
          <w:color w:val="000000"/>
          <w:sz w:val="24"/>
          <w:szCs w:val="24"/>
        </w:rPr>
        <w:t xml:space="preserve">8.10.1. INTEGRANTES </w:t>
      </w:r>
    </w:p>
    <w:p w14:paraId="6A426834" w14:textId="77777777" w:rsidR="00962D4E" w:rsidRPr="00885568" w:rsidRDefault="00962D4E" w:rsidP="00962D4E">
      <w:pPr>
        <w:jc w:val="both"/>
        <w:rPr>
          <w:rFonts w:ascii="Garamond" w:hAnsi="Garamond" w:cs="Arial"/>
          <w:bCs/>
          <w:color w:val="000000"/>
          <w:sz w:val="24"/>
          <w:szCs w:val="24"/>
        </w:rPr>
      </w:pPr>
    </w:p>
    <w:p w14:paraId="1DAC0094" w14:textId="207BB3FC" w:rsidR="00731776" w:rsidRPr="00885568" w:rsidRDefault="00731776" w:rsidP="00731776">
      <w:pPr>
        <w:pStyle w:val="Prrafodelista"/>
        <w:tabs>
          <w:tab w:val="left" w:pos="709"/>
        </w:tabs>
        <w:spacing w:after="0" w:line="240" w:lineRule="auto"/>
        <w:ind w:left="284"/>
        <w:jc w:val="both"/>
        <w:rPr>
          <w:rFonts w:ascii="Garamond" w:hAnsi="Garamond" w:cstheme="minorHAnsi"/>
          <w:sz w:val="24"/>
          <w:szCs w:val="24"/>
        </w:rPr>
      </w:pPr>
      <w:r w:rsidRPr="00885568">
        <w:rPr>
          <w:rFonts w:ascii="Garamond" w:hAnsi="Garamond" w:cstheme="minorHAnsi"/>
          <w:sz w:val="24"/>
          <w:szCs w:val="24"/>
        </w:rPr>
        <w:t xml:space="preserve">1.El/la Alcalde del Fondo de Desarrollo Local o por quien </w:t>
      </w:r>
      <w:r w:rsidR="00325771" w:rsidRPr="00885568">
        <w:rPr>
          <w:rFonts w:ascii="Garamond" w:hAnsi="Garamond" w:cstheme="minorHAnsi"/>
          <w:sz w:val="24"/>
          <w:szCs w:val="24"/>
        </w:rPr>
        <w:t>delegue.</w:t>
      </w:r>
    </w:p>
    <w:p w14:paraId="6A9EF3A2" w14:textId="0CAA9050" w:rsidR="00731776" w:rsidRPr="00885568" w:rsidRDefault="00731776" w:rsidP="00731776">
      <w:pPr>
        <w:pStyle w:val="Prrafodelista"/>
        <w:tabs>
          <w:tab w:val="left" w:pos="709"/>
        </w:tabs>
        <w:spacing w:after="0" w:line="240" w:lineRule="auto"/>
        <w:ind w:left="284"/>
        <w:jc w:val="both"/>
        <w:rPr>
          <w:rFonts w:ascii="Garamond" w:hAnsi="Garamond" w:cstheme="minorHAnsi"/>
          <w:sz w:val="24"/>
          <w:szCs w:val="24"/>
        </w:rPr>
      </w:pPr>
      <w:r w:rsidRPr="00885568">
        <w:rPr>
          <w:rFonts w:ascii="Garamond" w:hAnsi="Garamond" w:cstheme="minorHAnsi"/>
          <w:sz w:val="24"/>
          <w:szCs w:val="24"/>
        </w:rPr>
        <w:t xml:space="preserve">2. La/El Gerente de Educación Posmedia o por quien </w:t>
      </w:r>
      <w:r w:rsidR="00325771" w:rsidRPr="00885568">
        <w:rPr>
          <w:rFonts w:ascii="Garamond" w:hAnsi="Garamond" w:cstheme="minorHAnsi"/>
          <w:sz w:val="24"/>
          <w:szCs w:val="24"/>
        </w:rPr>
        <w:t>delegue.</w:t>
      </w:r>
    </w:p>
    <w:p w14:paraId="6EF57271" w14:textId="77777777" w:rsidR="00731776" w:rsidRPr="00885568" w:rsidRDefault="00731776" w:rsidP="00731776">
      <w:pPr>
        <w:pStyle w:val="Prrafodelista"/>
        <w:tabs>
          <w:tab w:val="left" w:pos="709"/>
        </w:tabs>
        <w:spacing w:after="0" w:line="240" w:lineRule="auto"/>
        <w:ind w:left="284" w:firstLine="283"/>
        <w:jc w:val="both"/>
        <w:rPr>
          <w:rFonts w:ascii="Garamond" w:hAnsi="Garamond" w:cstheme="minorHAnsi"/>
          <w:sz w:val="24"/>
          <w:szCs w:val="24"/>
        </w:rPr>
      </w:pPr>
    </w:p>
    <w:p w14:paraId="59344073" w14:textId="68FD32F4" w:rsidR="00731776" w:rsidRPr="00885568" w:rsidRDefault="00731776" w:rsidP="008D3DA3">
      <w:pPr>
        <w:tabs>
          <w:tab w:val="left" w:pos="709"/>
        </w:tabs>
        <w:jc w:val="both"/>
        <w:rPr>
          <w:rFonts w:ascii="Garamond" w:hAnsi="Garamond" w:cstheme="minorHAnsi"/>
          <w:sz w:val="24"/>
          <w:szCs w:val="24"/>
        </w:rPr>
      </w:pPr>
      <w:r w:rsidRPr="00885568">
        <w:rPr>
          <w:rFonts w:ascii="Garamond" w:hAnsi="Garamond" w:cstheme="minorHAnsi"/>
          <w:sz w:val="24"/>
          <w:szCs w:val="24"/>
        </w:rPr>
        <w:t>De conformidad con lo anterior el comité de seguimiento tendrá las siguientes funciones:</w:t>
      </w:r>
    </w:p>
    <w:p w14:paraId="5498AC28" w14:textId="77777777" w:rsidR="008D3DA3" w:rsidRPr="00885568" w:rsidRDefault="008D3DA3" w:rsidP="008D3DA3">
      <w:pPr>
        <w:tabs>
          <w:tab w:val="left" w:pos="709"/>
        </w:tabs>
        <w:jc w:val="both"/>
        <w:rPr>
          <w:rFonts w:ascii="Garamond" w:hAnsi="Garamond" w:cstheme="minorHAnsi"/>
          <w:sz w:val="24"/>
          <w:szCs w:val="24"/>
        </w:rPr>
      </w:pPr>
    </w:p>
    <w:p w14:paraId="6A13F6A3" w14:textId="3C00E2F0" w:rsidR="001F1468" w:rsidRPr="00885568" w:rsidRDefault="001F1468" w:rsidP="001F1468">
      <w:pPr>
        <w:pStyle w:val="paragraph"/>
        <w:spacing w:before="0" w:beforeAutospacing="0" w:after="0" w:afterAutospacing="0"/>
        <w:jc w:val="both"/>
        <w:textAlignment w:val="baseline"/>
        <w:rPr>
          <w:rStyle w:val="eop"/>
          <w:rFonts w:ascii="Garamond" w:eastAsia="Verdana" w:hAnsi="Garamond" w:cs="Arial"/>
        </w:rPr>
      </w:pPr>
      <w:r w:rsidRPr="00885568">
        <w:rPr>
          <w:rFonts w:ascii="Garamond" w:hAnsi="Garamond" w:cs="Arial"/>
          <w:b/>
          <w:bCs/>
        </w:rPr>
        <w:t xml:space="preserve">PARÁGRAFO SEGUNDO:  Funciones del Comité. </w:t>
      </w:r>
      <w:r w:rsidRPr="00885568">
        <w:rPr>
          <w:rStyle w:val="normaltextrun"/>
          <w:rFonts w:ascii="Garamond" w:hAnsi="Garamond" w:cs="Arial"/>
          <w:b/>
          <w:bCs/>
        </w:rPr>
        <w:t xml:space="preserve"> </w:t>
      </w:r>
      <w:r w:rsidR="008D3DA3" w:rsidRPr="00885568">
        <w:rPr>
          <w:rStyle w:val="normaltextrun"/>
          <w:rFonts w:ascii="Garamond" w:hAnsi="Garamond" w:cs="Arial"/>
        </w:rPr>
        <w:t xml:space="preserve">Serán funciones </w:t>
      </w:r>
      <w:r w:rsidR="00DF0604" w:rsidRPr="00885568">
        <w:rPr>
          <w:rStyle w:val="normaltextrun"/>
          <w:rFonts w:ascii="Garamond" w:hAnsi="Garamond" w:cs="Arial"/>
        </w:rPr>
        <w:t>del comité</w:t>
      </w:r>
      <w:r w:rsidRPr="00885568">
        <w:rPr>
          <w:rStyle w:val="normaltextrun"/>
          <w:rFonts w:ascii="Garamond" w:hAnsi="Garamond" w:cs="Arial"/>
        </w:rPr>
        <w:t xml:space="preserve"> de seguimiento tendrá las siguientes funciones:</w:t>
      </w:r>
      <w:r w:rsidRPr="00885568">
        <w:rPr>
          <w:rStyle w:val="eop"/>
          <w:rFonts w:ascii="Garamond" w:eastAsia="Verdana" w:hAnsi="Garamond" w:cs="Arial"/>
        </w:rPr>
        <w:t> </w:t>
      </w:r>
    </w:p>
    <w:p w14:paraId="1AE9C0A1" w14:textId="77777777" w:rsidR="001F1468" w:rsidRPr="00885568" w:rsidRDefault="001F1468" w:rsidP="001F1468">
      <w:pPr>
        <w:pStyle w:val="paragraph"/>
        <w:spacing w:before="0" w:beforeAutospacing="0" w:after="0" w:afterAutospacing="0"/>
        <w:jc w:val="both"/>
        <w:textAlignment w:val="baseline"/>
        <w:rPr>
          <w:rFonts w:ascii="Garamond" w:hAnsi="Garamond" w:cs="Arial"/>
        </w:rPr>
      </w:pPr>
    </w:p>
    <w:p w14:paraId="148FAC2B" w14:textId="77777777" w:rsidR="001F1468" w:rsidRPr="00885568" w:rsidRDefault="001F1468" w:rsidP="0055486F">
      <w:pPr>
        <w:pStyle w:val="paragraph"/>
        <w:numPr>
          <w:ilvl w:val="0"/>
          <w:numId w:val="14"/>
        </w:numPr>
        <w:spacing w:before="0" w:beforeAutospacing="0" w:after="0" w:afterAutospacing="0"/>
        <w:ind w:left="567" w:hanging="567"/>
        <w:jc w:val="both"/>
        <w:textAlignment w:val="baseline"/>
        <w:rPr>
          <w:rFonts w:ascii="Garamond" w:hAnsi="Garamond" w:cs="Arial"/>
        </w:rPr>
      </w:pPr>
      <w:r w:rsidRPr="00885568">
        <w:rPr>
          <w:rStyle w:val="normaltextrun"/>
          <w:rFonts w:ascii="Garamond" w:hAnsi="Garamond" w:cs="Arial"/>
        </w:rPr>
        <w:t>Realizar seguimiento financiero y técnico semestralmente de acuerdo con el reporte de estados de matrícula de las y los beneficiarios de los Programas de Educación Posmedia remitido por las Instituciones de Educación Superior.</w:t>
      </w:r>
      <w:r w:rsidRPr="00885568">
        <w:rPr>
          <w:rStyle w:val="eop"/>
          <w:rFonts w:ascii="Garamond" w:eastAsia="Verdana" w:hAnsi="Garamond" w:cs="Arial"/>
        </w:rPr>
        <w:t> </w:t>
      </w:r>
    </w:p>
    <w:p w14:paraId="66CCB2A1" w14:textId="77777777" w:rsidR="001F1468" w:rsidRPr="00885568" w:rsidRDefault="001F1468" w:rsidP="0055486F">
      <w:pPr>
        <w:pStyle w:val="paragraph"/>
        <w:numPr>
          <w:ilvl w:val="0"/>
          <w:numId w:val="15"/>
        </w:numPr>
        <w:spacing w:before="0" w:beforeAutospacing="0" w:after="0" w:afterAutospacing="0"/>
        <w:ind w:left="567" w:hanging="567"/>
        <w:jc w:val="both"/>
        <w:textAlignment w:val="baseline"/>
        <w:rPr>
          <w:rFonts w:ascii="Garamond" w:hAnsi="Garamond" w:cs="Arial"/>
        </w:rPr>
      </w:pPr>
      <w:r w:rsidRPr="00885568">
        <w:rPr>
          <w:rStyle w:val="normaltextrun"/>
          <w:rFonts w:ascii="Garamond" w:hAnsi="Garamond" w:cs="Arial"/>
        </w:rPr>
        <w:t>Generar recomendaciones, sugerencias y acciones de mejoramiento en la ejecución del presente convenio interadministrativo.</w:t>
      </w:r>
      <w:r w:rsidRPr="00885568">
        <w:rPr>
          <w:rStyle w:val="eop"/>
          <w:rFonts w:ascii="Garamond" w:eastAsia="Verdana" w:hAnsi="Garamond" w:cs="Arial"/>
        </w:rPr>
        <w:t> </w:t>
      </w:r>
    </w:p>
    <w:p w14:paraId="55EDAF7E" w14:textId="77777777" w:rsidR="001F1468" w:rsidRPr="00885568" w:rsidRDefault="001F1468" w:rsidP="0055486F">
      <w:pPr>
        <w:pStyle w:val="paragraph"/>
        <w:numPr>
          <w:ilvl w:val="0"/>
          <w:numId w:val="16"/>
        </w:numPr>
        <w:spacing w:before="0" w:beforeAutospacing="0" w:after="0" w:afterAutospacing="0"/>
        <w:ind w:left="567" w:hanging="567"/>
        <w:jc w:val="both"/>
        <w:textAlignment w:val="baseline"/>
        <w:rPr>
          <w:rStyle w:val="eop"/>
          <w:rFonts w:ascii="Garamond" w:hAnsi="Garamond" w:cs="Arial"/>
        </w:rPr>
      </w:pPr>
      <w:r w:rsidRPr="00885568">
        <w:rPr>
          <w:rStyle w:val="normaltextrun"/>
          <w:rFonts w:ascii="Garamond" w:hAnsi="Garamond" w:cs="Arial"/>
        </w:rPr>
        <w:t>Realizar seguimiento semestralmente a las actividades establecidas para el desarrollo de la pasantía social, por parte de los beneficiarios del Fondo de Desarrollo Local.</w:t>
      </w:r>
      <w:r w:rsidRPr="00885568">
        <w:rPr>
          <w:rStyle w:val="eop"/>
          <w:rFonts w:ascii="Garamond" w:eastAsia="Verdana" w:hAnsi="Garamond" w:cs="Arial"/>
        </w:rPr>
        <w:t> </w:t>
      </w:r>
    </w:p>
    <w:p w14:paraId="1A7248EC" w14:textId="77777777" w:rsidR="001F1468" w:rsidRPr="00885568" w:rsidRDefault="001F1468" w:rsidP="001F1468">
      <w:pPr>
        <w:pStyle w:val="paragraph"/>
        <w:spacing w:before="0" w:beforeAutospacing="0" w:after="0" w:afterAutospacing="0"/>
        <w:jc w:val="both"/>
        <w:textAlignment w:val="baseline"/>
        <w:rPr>
          <w:rFonts w:ascii="Garamond" w:hAnsi="Garamond" w:cs="Arial"/>
        </w:rPr>
      </w:pPr>
    </w:p>
    <w:p w14:paraId="2D64388A" w14:textId="77777777" w:rsidR="001F1468" w:rsidRPr="00885568" w:rsidRDefault="001F1468" w:rsidP="001F1468">
      <w:pPr>
        <w:pStyle w:val="paragraph"/>
        <w:spacing w:before="0" w:beforeAutospacing="0" w:after="0" w:afterAutospacing="0"/>
        <w:jc w:val="both"/>
        <w:textAlignment w:val="baseline"/>
        <w:rPr>
          <w:rStyle w:val="eop"/>
          <w:rFonts w:ascii="Garamond" w:eastAsia="Verdana" w:hAnsi="Garamond" w:cs="Arial"/>
        </w:rPr>
      </w:pPr>
      <w:r w:rsidRPr="00885568">
        <w:rPr>
          <w:rFonts w:ascii="Garamond" w:hAnsi="Garamond" w:cs="Arial"/>
          <w:b/>
          <w:bCs/>
        </w:rPr>
        <w:t>PARÁGRAFO TERCERO</w:t>
      </w:r>
      <w:r w:rsidRPr="00885568">
        <w:rPr>
          <w:rStyle w:val="normaltextrun"/>
          <w:rFonts w:ascii="Garamond" w:hAnsi="Garamond" w:cs="Arial"/>
          <w:b/>
          <w:bCs/>
        </w:rPr>
        <w:t xml:space="preserve">: </w:t>
      </w:r>
      <w:commentRangeStart w:id="22"/>
      <w:commentRangeStart w:id="23"/>
      <w:r w:rsidRPr="00885568">
        <w:rPr>
          <w:rStyle w:val="normaltextrun"/>
          <w:rFonts w:ascii="Garamond" w:hAnsi="Garamond" w:cs="Arial"/>
          <w:b/>
          <w:bCs/>
        </w:rPr>
        <w:t xml:space="preserve">Sesiones del </w:t>
      </w:r>
      <w:r w:rsidRPr="00885568">
        <w:rPr>
          <w:rStyle w:val="findhit"/>
          <w:rFonts w:ascii="Garamond" w:hAnsi="Garamond" w:cs="Arial"/>
          <w:b/>
          <w:bCs/>
        </w:rPr>
        <w:t>Comité</w:t>
      </w:r>
      <w:r w:rsidRPr="00885568">
        <w:rPr>
          <w:rStyle w:val="normaltextrun"/>
          <w:rFonts w:ascii="Garamond" w:hAnsi="Garamond" w:cs="Arial"/>
          <w:b/>
          <w:bCs/>
        </w:rPr>
        <w:t xml:space="preserve"> Técnico de seguimiento del convenio: </w:t>
      </w:r>
      <w:r w:rsidRPr="00885568">
        <w:rPr>
          <w:rStyle w:val="eop"/>
          <w:rFonts w:ascii="Garamond" w:eastAsia="Verdana" w:hAnsi="Garamond" w:cs="Arial"/>
          <w:b/>
          <w:bCs/>
        </w:rPr>
        <w:t xml:space="preserve">  </w:t>
      </w:r>
      <w:r w:rsidRPr="00885568">
        <w:rPr>
          <w:rStyle w:val="normaltextrun"/>
          <w:rFonts w:ascii="Garamond" w:hAnsi="Garamond" w:cs="Arial"/>
        </w:rPr>
        <w:t xml:space="preserve">El </w:t>
      </w:r>
      <w:r w:rsidRPr="00885568">
        <w:rPr>
          <w:rStyle w:val="findhit"/>
          <w:rFonts w:ascii="Garamond" w:hAnsi="Garamond" w:cs="Arial"/>
        </w:rPr>
        <w:t>Comité</w:t>
      </w:r>
      <w:r w:rsidRPr="00885568">
        <w:rPr>
          <w:rStyle w:val="normaltextrun"/>
          <w:rFonts w:ascii="Garamond" w:hAnsi="Garamond" w:cs="Arial"/>
        </w:rPr>
        <w:t xml:space="preserve"> Técnico sesionará y funcionará bajo los siguientes parámetros: </w:t>
      </w:r>
      <w:r w:rsidRPr="00885568">
        <w:rPr>
          <w:rStyle w:val="eop"/>
          <w:rFonts w:ascii="Garamond" w:eastAsia="Verdana" w:hAnsi="Garamond" w:cs="Arial"/>
        </w:rPr>
        <w:t> </w:t>
      </w:r>
      <w:commentRangeEnd w:id="22"/>
      <w:r w:rsidR="001F2006">
        <w:rPr>
          <w:rStyle w:val="Refdecomentario"/>
          <w:lang w:eastAsia="es-ES"/>
        </w:rPr>
        <w:commentReference w:id="22"/>
      </w:r>
      <w:commentRangeEnd w:id="23"/>
      <w:r w:rsidR="001F2006">
        <w:rPr>
          <w:rStyle w:val="Refdecomentario"/>
          <w:lang w:eastAsia="es-ES"/>
        </w:rPr>
        <w:commentReference w:id="23"/>
      </w:r>
    </w:p>
    <w:p w14:paraId="78D9BF73" w14:textId="77777777" w:rsidR="001F1468" w:rsidRPr="00885568" w:rsidRDefault="001F1468" w:rsidP="001F1468">
      <w:pPr>
        <w:pStyle w:val="paragraph"/>
        <w:spacing w:before="0" w:beforeAutospacing="0" w:after="0" w:afterAutospacing="0"/>
        <w:jc w:val="both"/>
        <w:textAlignment w:val="baseline"/>
        <w:rPr>
          <w:rFonts w:ascii="Garamond" w:eastAsia="Verdana" w:hAnsi="Garamond" w:cs="Arial"/>
          <w:b/>
          <w:bCs/>
        </w:rPr>
      </w:pPr>
    </w:p>
    <w:p w14:paraId="54929D41" w14:textId="77777777" w:rsidR="001F1468" w:rsidRPr="00885568" w:rsidRDefault="001F1468" w:rsidP="0055486F">
      <w:pPr>
        <w:pStyle w:val="paragraph"/>
        <w:numPr>
          <w:ilvl w:val="0"/>
          <w:numId w:val="17"/>
        </w:numPr>
        <w:spacing w:before="0" w:beforeAutospacing="0" w:after="0" w:afterAutospacing="0"/>
        <w:ind w:left="567" w:hanging="567"/>
        <w:jc w:val="both"/>
        <w:textAlignment w:val="baseline"/>
        <w:rPr>
          <w:rFonts w:ascii="Garamond" w:hAnsi="Garamond" w:cs="Arial"/>
        </w:rPr>
      </w:pPr>
      <w:r w:rsidRPr="00885568">
        <w:rPr>
          <w:rStyle w:val="normaltextrun"/>
          <w:rFonts w:ascii="Garamond" w:hAnsi="Garamond" w:cs="Arial"/>
        </w:rPr>
        <w:t>Se reunirá de manera ordinaria, presencial o virtual, de manera semestral y de manera extraordinaria, cuando las necesidades del servicio lo requieran. </w:t>
      </w:r>
      <w:r w:rsidRPr="00885568">
        <w:rPr>
          <w:rStyle w:val="eop"/>
          <w:rFonts w:ascii="Garamond" w:eastAsia="Verdana" w:hAnsi="Garamond" w:cs="Arial"/>
        </w:rPr>
        <w:t> </w:t>
      </w:r>
    </w:p>
    <w:p w14:paraId="17A7B7D5" w14:textId="77777777" w:rsidR="001F1468" w:rsidRPr="00885568" w:rsidRDefault="001F1468" w:rsidP="0055486F">
      <w:pPr>
        <w:pStyle w:val="paragraph"/>
        <w:numPr>
          <w:ilvl w:val="0"/>
          <w:numId w:val="18"/>
        </w:numPr>
        <w:spacing w:before="0" w:beforeAutospacing="0" w:after="0" w:afterAutospacing="0"/>
        <w:ind w:left="567" w:hanging="567"/>
        <w:jc w:val="both"/>
        <w:textAlignment w:val="baseline"/>
        <w:rPr>
          <w:rFonts w:ascii="Garamond" w:hAnsi="Garamond" w:cs="Arial"/>
        </w:rPr>
      </w:pPr>
      <w:r w:rsidRPr="00885568">
        <w:rPr>
          <w:rStyle w:val="normaltextrun"/>
          <w:rFonts w:ascii="Garamond" w:hAnsi="Garamond" w:cs="Arial"/>
        </w:rPr>
        <w:t>Cada una de las sesiones tendrá una agenda y orden del día conformado por los asuntos que hayan sido puestos a consideración. </w:t>
      </w:r>
      <w:r w:rsidRPr="00885568">
        <w:rPr>
          <w:rStyle w:val="eop"/>
          <w:rFonts w:ascii="Garamond" w:eastAsia="Verdana" w:hAnsi="Garamond" w:cs="Arial"/>
        </w:rPr>
        <w:t> </w:t>
      </w:r>
    </w:p>
    <w:p w14:paraId="18442B77" w14:textId="77777777" w:rsidR="001F1468" w:rsidRPr="00885568" w:rsidRDefault="001F1468" w:rsidP="0055486F">
      <w:pPr>
        <w:pStyle w:val="paragraph"/>
        <w:numPr>
          <w:ilvl w:val="0"/>
          <w:numId w:val="19"/>
        </w:numPr>
        <w:spacing w:before="0" w:beforeAutospacing="0" w:after="0" w:afterAutospacing="0"/>
        <w:ind w:left="567" w:hanging="567"/>
        <w:jc w:val="both"/>
        <w:textAlignment w:val="baseline"/>
        <w:rPr>
          <w:rFonts w:ascii="Garamond" w:hAnsi="Garamond" w:cs="Arial"/>
        </w:rPr>
      </w:pPr>
      <w:r w:rsidRPr="00885568">
        <w:rPr>
          <w:rStyle w:val="normaltextrun"/>
          <w:rFonts w:ascii="Garamond" w:hAnsi="Garamond" w:cs="Arial"/>
        </w:rPr>
        <w:t xml:space="preserve">De las sesiones del </w:t>
      </w:r>
      <w:r w:rsidRPr="00885568">
        <w:rPr>
          <w:rStyle w:val="findhit"/>
          <w:rFonts w:ascii="Garamond" w:hAnsi="Garamond" w:cs="Arial"/>
        </w:rPr>
        <w:t>Comité</w:t>
      </w:r>
      <w:r w:rsidRPr="00885568">
        <w:rPr>
          <w:rStyle w:val="normaltextrun"/>
          <w:rFonts w:ascii="Garamond" w:hAnsi="Garamond" w:cs="Arial"/>
        </w:rPr>
        <w:t xml:space="preserve"> se levantará el acta y se incluirá el soporte de asistencia de miembros e invitados. La misma será suscrita por el/la Alcalde/sa del Fondo de Desarrollo Local o por </w:t>
      </w:r>
      <w:r w:rsidRPr="00885568">
        <w:rPr>
          <w:rStyle w:val="normaltextrun"/>
          <w:rFonts w:ascii="Garamond" w:hAnsi="Garamond" w:cs="Arial"/>
        </w:rPr>
        <w:lastRenderedPageBreak/>
        <w:t>quien designe y por parte de la AGENCIA ATENEA por la/el Gerente de Educación Posmedia o por quien designe.</w:t>
      </w:r>
      <w:r w:rsidRPr="00885568">
        <w:rPr>
          <w:rStyle w:val="eop"/>
          <w:rFonts w:ascii="Garamond" w:eastAsia="Verdana" w:hAnsi="Garamond" w:cs="Arial"/>
        </w:rPr>
        <w:t> </w:t>
      </w:r>
    </w:p>
    <w:p w14:paraId="0A4439D8" w14:textId="77777777" w:rsidR="001F1468" w:rsidRPr="00885568" w:rsidRDefault="001F1468" w:rsidP="001F1468">
      <w:pPr>
        <w:pStyle w:val="paragraph"/>
        <w:spacing w:before="0" w:beforeAutospacing="0" w:after="0" w:afterAutospacing="0"/>
        <w:jc w:val="both"/>
        <w:rPr>
          <w:rFonts w:ascii="Garamond" w:hAnsi="Garamond" w:cs="Arial"/>
          <w:b/>
          <w:bCs/>
        </w:rPr>
      </w:pPr>
    </w:p>
    <w:p w14:paraId="766BBD20" w14:textId="77777777" w:rsidR="001F1468" w:rsidRPr="00885568" w:rsidRDefault="001F1468" w:rsidP="001F1468">
      <w:pPr>
        <w:pStyle w:val="paragraph"/>
        <w:spacing w:before="0" w:beforeAutospacing="0" w:after="0" w:afterAutospacing="0"/>
        <w:jc w:val="both"/>
        <w:textAlignment w:val="baseline"/>
        <w:rPr>
          <w:rFonts w:ascii="Garamond" w:eastAsia="Verdana" w:hAnsi="Garamond" w:cs="Arial"/>
          <w:b/>
          <w:bCs/>
        </w:rPr>
      </w:pPr>
      <w:r w:rsidRPr="00885568">
        <w:rPr>
          <w:rFonts w:ascii="Garamond" w:hAnsi="Garamond" w:cs="Arial"/>
          <w:b/>
          <w:bCs/>
        </w:rPr>
        <w:t xml:space="preserve">PARÁGRAFO CUARTO: </w:t>
      </w:r>
      <w:r w:rsidRPr="00885568">
        <w:rPr>
          <w:rStyle w:val="normaltextrun"/>
          <w:rFonts w:ascii="Garamond" w:hAnsi="Garamond" w:cs="Arial"/>
          <w:b/>
          <w:bCs/>
        </w:rPr>
        <w:t>Mesas de trabajo</w:t>
      </w:r>
      <w:r w:rsidRPr="00885568">
        <w:rPr>
          <w:rStyle w:val="eop"/>
          <w:rFonts w:ascii="Garamond" w:eastAsia="Verdana" w:hAnsi="Garamond" w:cs="Arial"/>
          <w:b/>
          <w:bCs/>
        </w:rPr>
        <w:t xml:space="preserve">:  </w:t>
      </w:r>
      <w:r w:rsidRPr="00885568">
        <w:rPr>
          <w:rStyle w:val="normaltextrun"/>
          <w:rFonts w:ascii="Garamond" w:hAnsi="Garamond" w:cs="Arial"/>
        </w:rPr>
        <w:t>Se desarrollarán mesas de trabajo entre las partes, a las cuales asistirán de manera obligatoria los apoyos a la supervisión y las entidades podrán invitar a quienes consideren necesario para el desarrollo de la misma.</w:t>
      </w:r>
      <w:r w:rsidRPr="00885568">
        <w:rPr>
          <w:rStyle w:val="eop"/>
          <w:rFonts w:ascii="Garamond" w:eastAsia="Verdana" w:hAnsi="Garamond" w:cs="Arial"/>
        </w:rPr>
        <w:t> </w:t>
      </w:r>
    </w:p>
    <w:p w14:paraId="1E437488" w14:textId="77777777" w:rsidR="001F1468" w:rsidRPr="00885568" w:rsidRDefault="001F1468" w:rsidP="001F1468">
      <w:pPr>
        <w:pStyle w:val="paragraph"/>
        <w:spacing w:before="0" w:beforeAutospacing="0" w:after="0" w:afterAutospacing="0"/>
        <w:ind w:hanging="270"/>
        <w:jc w:val="both"/>
        <w:textAlignment w:val="baseline"/>
        <w:rPr>
          <w:rFonts w:ascii="Garamond" w:hAnsi="Garamond" w:cs="Arial"/>
        </w:rPr>
      </w:pPr>
      <w:r w:rsidRPr="00885568">
        <w:rPr>
          <w:rStyle w:val="eop"/>
          <w:rFonts w:ascii="Garamond" w:eastAsia="Verdana" w:hAnsi="Garamond" w:cs="Arial"/>
        </w:rPr>
        <w:t> </w:t>
      </w:r>
    </w:p>
    <w:p w14:paraId="1CDA3B48" w14:textId="77777777" w:rsidR="001F1468" w:rsidRPr="00885568" w:rsidRDefault="001F1468" w:rsidP="001F1468">
      <w:pPr>
        <w:pStyle w:val="paragraph"/>
        <w:spacing w:before="0" w:beforeAutospacing="0" w:after="0" w:afterAutospacing="0"/>
        <w:jc w:val="both"/>
        <w:textAlignment w:val="baseline"/>
        <w:rPr>
          <w:rFonts w:ascii="Garamond" w:hAnsi="Garamond" w:cs="Arial"/>
        </w:rPr>
      </w:pPr>
      <w:r w:rsidRPr="00885568">
        <w:rPr>
          <w:rFonts w:ascii="Garamond" w:hAnsi="Garamond" w:cs="Arial"/>
          <w:b/>
          <w:bCs/>
        </w:rPr>
        <w:t xml:space="preserve">PARÁGRAFO QUINTO: </w:t>
      </w:r>
      <w:r w:rsidRPr="00885568">
        <w:rPr>
          <w:rStyle w:val="normaltextrun"/>
          <w:rFonts w:ascii="Garamond" w:hAnsi="Garamond" w:cs="Arial"/>
          <w:b/>
          <w:bCs/>
        </w:rPr>
        <w:t xml:space="preserve"> Sesiones de las mesas de trabajo.</w:t>
      </w:r>
      <w:r w:rsidRPr="00885568">
        <w:rPr>
          <w:rStyle w:val="normaltextrun"/>
          <w:rFonts w:ascii="Garamond" w:hAnsi="Garamond" w:cs="Arial"/>
        </w:rPr>
        <w:t> </w:t>
      </w:r>
      <w:r w:rsidRPr="00885568">
        <w:rPr>
          <w:rStyle w:val="eop"/>
          <w:rFonts w:ascii="Garamond" w:eastAsia="Verdana" w:hAnsi="Garamond" w:cs="Arial"/>
        </w:rPr>
        <w:t> </w:t>
      </w:r>
      <w:r w:rsidRPr="00885568">
        <w:rPr>
          <w:rStyle w:val="normaltextrun"/>
          <w:rFonts w:ascii="Garamond" w:hAnsi="Garamond" w:cs="Arial"/>
        </w:rPr>
        <w:t>Ordinariamente se llevarán a cabo 4 sesiones al año con periodicidad bimestral; y de manera extraordinaria cuando las partes lo requieran.</w:t>
      </w:r>
      <w:r w:rsidRPr="00885568">
        <w:rPr>
          <w:rStyle w:val="eop"/>
          <w:rFonts w:ascii="Garamond" w:eastAsia="Verdana" w:hAnsi="Garamond" w:cs="Arial"/>
        </w:rPr>
        <w:t> </w:t>
      </w:r>
    </w:p>
    <w:p w14:paraId="7B2103A2" w14:textId="77777777" w:rsidR="001F1468" w:rsidRPr="00885568" w:rsidRDefault="001F1468" w:rsidP="001F1468">
      <w:pPr>
        <w:pStyle w:val="paragraph"/>
        <w:spacing w:before="0" w:beforeAutospacing="0" w:after="0" w:afterAutospacing="0"/>
        <w:jc w:val="both"/>
        <w:textAlignment w:val="baseline"/>
        <w:rPr>
          <w:rFonts w:ascii="Garamond" w:hAnsi="Garamond" w:cs="Arial"/>
        </w:rPr>
      </w:pPr>
      <w:r w:rsidRPr="00885568">
        <w:rPr>
          <w:rStyle w:val="eop"/>
          <w:rFonts w:ascii="Garamond" w:eastAsia="Verdana" w:hAnsi="Garamond" w:cs="Arial"/>
        </w:rPr>
        <w:t> </w:t>
      </w:r>
    </w:p>
    <w:p w14:paraId="3C954CD2" w14:textId="77777777" w:rsidR="001F1468" w:rsidRPr="00885568" w:rsidRDefault="001F1468" w:rsidP="001F1468">
      <w:pPr>
        <w:pStyle w:val="paragraph"/>
        <w:spacing w:before="0" w:beforeAutospacing="0" w:after="0" w:afterAutospacing="0"/>
        <w:jc w:val="both"/>
        <w:textAlignment w:val="baseline"/>
        <w:rPr>
          <w:rFonts w:ascii="Garamond" w:hAnsi="Garamond" w:cs="Arial"/>
        </w:rPr>
      </w:pPr>
      <w:r w:rsidRPr="00885568">
        <w:rPr>
          <w:rStyle w:val="normaltextrun"/>
          <w:rFonts w:ascii="Garamond" w:hAnsi="Garamond" w:cs="Arial"/>
        </w:rPr>
        <w:t>De cualquier forma, la Agencia Atenea enviará la invitación Al FDL para generar los espacios de trabajo, y en este sentido dejar constancia del cumplimiento de la responsabilidad aquí planteada.</w:t>
      </w:r>
      <w:r w:rsidRPr="00885568">
        <w:rPr>
          <w:rStyle w:val="eop"/>
          <w:rFonts w:ascii="Garamond" w:eastAsia="Verdana" w:hAnsi="Garamond" w:cs="Arial"/>
        </w:rPr>
        <w:t> </w:t>
      </w:r>
    </w:p>
    <w:p w14:paraId="7CF8A395" w14:textId="3A96A38F" w:rsidR="00962D4E" w:rsidRPr="00885568" w:rsidRDefault="00962D4E" w:rsidP="00865432">
      <w:pPr>
        <w:jc w:val="both"/>
        <w:rPr>
          <w:rFonts w:ascii="Garamond" w:hAnsi="Garamond" w:cs="Arial"/>
          <w:b/>
          <w:bCs/>
          <w:color w:val="000000"/>
          <w:sz w:val="24"/>
          <w:szCs w:val="24"/>
        </w:rPr>
      </w:pPr>
      <w:bookmarkStart w:id="24" w:name="_Hlk174451263"/>
      <w:bookmarkEnd w:id="24"/>
    </w:p>
    <w:p w14:paraId="0A0F28C1" w14:textId="23A66CA2" w:rsidR="000E327D" w:rsidRPr="00885568" w:rsidRDefault="00BD10E9" w:rsidP="00F36081">
      <w:pPr>
        <w:jc w:val="both"/>
        <w:rPr>
          <w:rFonts w:ascii="Garamond" w:hAnsi="Garamond" w:cs="Arial"/>
          <w:b/>
          <w:bCs/>
          <w:color w:val="000000"/>
          <w:sz w:val="24"/>
          <w:szCs w:val="24"/>
        </w:rPr>
      </w:pPr>
      <w:r w:rsidRPr="00885568">
        <w:rPr>
          <w:rFonts w:ascii="Garamond" w:hAnsi="Garamond" w:cs="Arial"/>
          <w:b/>
          <w:bCs/>
          <w:color w:val="000000"/>
          <w:sz w:val="24"/>
          <w:szCs w:val="24"/>
        </w:rPr>
        <w:t xml:space="preserve">8.11. </w:t>
      </w:r>
      <w:r w:rsidR="001B2619" w:rsidRPr="00885568">
        <w:rPr>
          <w:rFonts w:ascii="Garamond" w:hAnsi="Garamond" w:cs="Arial"/>
          <w:b/>
          <w:bCs/>
          <w:color w:val="000000"/>
          <w:sz w:val="24"/>
          <w:szCs w:val="24"/>
        </w:rPr>
        <w:t>INDICACIÓN DE SI LA CONTRATACI</w:t>
      </w:r>
      <w:r w:rsidR="00E24896" w:rsidRPr="00885568">
        <w:rPr>
          <w:rFonts w:ascii="Garamond" w:hAnsi="Garamond" w:cs="Arial"/>
          <w:b/>
          <w:bCs/>
          <w:color w:val="000000"/>
          <w:sz w:val="24"/>
          <w:szCs w:val="24"/>
        </w:rPr>
        <w:t>Ó</w:t>
      </w:r>
      <w:r w:rsidR="001B2619" w:rsidRPr="00885568">
        <w:rPr>
          <w:rFonts w:ascii="Garamond" w:hAnsi="Garamond" w:cs="Arial"/>
          <w:b/>
          <w:bCs/>
          <w:color w:val="000000"/>
          <w:sz w:val="24"/>
          <w:szCs w:val="24"/>
        </w:rPr>
        <w:t>N ESTA COBIJADA POR UN ACUERDO INTERNACIONAL O UN TRATADO DE LIBRE COMERCIO VIGENTE PARA COLOMBIA</w:t>
      </w:r>
    </w:p>
    <w:p w14:paraId="040F1199" w14:textId="77777777" w:rsidR="005640FB" w:rsidRPr="00885568" w:rsidRDefault="005640FB" w:rsidP="005640FB">
      <w:pPr>
        <w:jc w:val="both"/>
        <w:rPr>
          <w:rFonts w:ascii="Garamond" w:hAnsi="Garamond" w:cs="Arial"/>
          <w:b/>
          <w:bCs/>
          <w:color w:val="000000"/>
          <w:sz w:val="24"/>
          <w:szCs w:val="24"/>
        </w:rPr>
      </w:pPr>
    </w:p>
    <w:p w14:paraId="23072A6D" w14:textId="595B4A6A" w:rsidR="00DA7CB5" w:rsidRPr="00885568" w:rsidRDefault="00876537" w:rsidP="005640FB">
      <w:pPr>
        <w:jc w:val="both"/>
        <w:rPr>
          <w:rFonts w:ascii="Garamond" w:hAnsi="Garamond" w:cs="Arial"/>
          <w:bCs/>
          <w:color w:val="000000"/>
          <w:sz w:val="24"/>
          <w:szCs w:val="24"/>
        </w:rPr>
      </w:pPr>
      <w:r w:rsidRPr="00885568">
        <w:rPr>
          <w:rFonts w:ascii="Garamond" w:hAnsi="Garamond" w:cs="Arial"/>
          <w:b/>
          <w:bCs/>
          <w:color w:val="000000"/>
          <w:sz w:val="24"/>
          <w:szCs w:val="24"/>
        </w:rPr>
        <w:t>Las Entidades Estatales que adelanten sus Procesos de Contratación bajo el régimen del Estatuto General de la Administración Pública, no deben hacer este análisis en las modalidades de selección de contratación directa</w:t>
      </w:r>
      <w:r w:rsidRPr="00885568">
        <w:rPr>
          <w:rFonts w:ascii="Garamond" w:hAnsi="Garamond" w:cs="Arial"/>
          <w:bCs/>
          <w:color w:val="000000"/>
          <w:sz w:val="24"/>
          <w:szCs w:val="24"/>
        </w:rPr>
        <w:t xml:space="preserve"> o para la enajenación de bienes del Estado</w:t>
      </w:r>
      <w:r w:rsidRPr="00885568">
        <w:rPr>
          <w:rFonts w:ascii="Garamond" w:hAnsi="Garamond" w:cs="Arial"/>
          <w:bCs/>
          <w:color w:val="000000"/>
          <w:sz w:val="24"/>
          <w:szCs w:val="24"/>
          <w:u w:val="single"/>
        </w:rPr>
        <w:t>. Esto por cuanto, en el caso de la contratación directa, al no existir una pluralidad de oferentes no hay necesidad de analizar si un Acuerdo Comercial aplica o no,</w:t>
      </w:r>
      <w:r w:rsidRPr="00885568">
        <w:rPr>
          <w:rFonts w:ascii="Garamond" w:hAnsi="Garamond" w:cs="Arial"/>
          <w:bCs/>
          <w:color w:val="000000"/>
          <w:sz w:val="24"/>
          <w:szCs w:val="24"/>
        </w:rPr>
        <w:t xml:space="preserve"> </w:t>
      </w:r>
      <w:r w:rsidRPr="00885568">
        <w:rPr>
          <w:rFonts w:ascii="Garamond" w:hAnsi="Garamond" w:cs="Arial"/>
          <w:bCs/>
          <w:color w:val="000000"/>
          <w:sz w:val="24"/>
          <w:szCs w:val="24"/>
          <w:u w:val="single"/>
        </w:rPr>
        <w:t>pues en estos procesos de contratación no se otorga el puntaje de la Ley 816 de 2003 ni se aplican los factores de desempate</w:t>
      </w:r>
      <w:r w:rsidRPr="00885568">
        <w:rPr>
          <w:rFonts w:ascii="Garamond" w:hAnsi="Garamond" w:cs="Arial"/>
          <w:bCs/>
          <w:color w:val="000000"/>
          <w:sz w:val="24"/>
          <w:szCs w:val="24"/>
        </w:rPr>
        <w:t xml:space="preserve"> de la Ley 2069 de 2020. Por otro lado, al ser la enajenación de bienes del Estado un proceso de selección abreviada realizado a través de venta directa en sobre cerrado o en pública subasta, no hay una aplicación del puntaje de la Ley 816 de 2003 ni de los factores de desempate de la Ley 2069 de 2020. De conformidad con el Manual para el manejo de los Acuerdos Comerciales en Procesos de Contratación de Colombia Compra Eficient</w:t>
      </w:r>
      <w:r w:rsidR="00170CBD" w:rsidRPr="00885568">
        <w:rPr>
          <w:rFonts w:ascii="Garamond" w:hAnsi="Garamond" w:cs="Arial"/>
          <w:bCs/>
          <w:color w:val="000000"/>
          <w:sz w:val="24"/>
          <w:szCs w:val="24"/>
        </w:rPr>
        <w:t>e.</w:t>
      </w:r>
    </w:p>
    <w:p w14:paraId="77378BCF" w14:textId="4F208309" w:rsidR="00DA7CB5" w:rsidRPr="00885568" w:rsidRDefault="00DA7CB5" w:rsidP="005640FB">
      <w:pPr>
        <w:jc w:val="both"/>
        <w:rPr>
          <w:rFonts w:ascii="Garamond" w:hAnsi="Garamond" w:cs="Arial"/>
          <w:b/>
          <w:bCs/>
          <w:color w:val="000000"/>
          <w:sz w:val="24"/>
          <w:szCs w:val="24"/>
        </w:rPr>
      </w:pPr>
    </w:p>
    <w:p w14:paraId="0D65AC9A" w14:textId="53A04387" w:rsidR="00AC1F35" w:rsidRPr="00885568" w:rsidRDefault="00AC1F35" w:rsidP="00AC1F35">
      <w:pPr>
        <w:jc w:val="both"/>
        <w:rPr>
          <w:rFonts w:ascii="Garamond" w:hAnsi="Garamond" w:cs="Arial"/>
          <w:b/>
          <w:bCs/>
          <w:color w:val="000000"/>
          <w:sz w:val="24"/>
          <w:szCs w:val="24"/>
        </w:rPr>
      </w:pPr>
      <w:r w:rsidRPr="00885568">
        <w:rPr>
          <w:rFonts w:ascii="Garamond" w:hAnsi="Garamond" w:cs="Arial"/>
          <w:b/>
          <w:bCs/>
          <w:color w:val="000000"/>
          <w:sz w:val="24"/>
          <w:szCs w:val="24"/>
        </w:rPr>
        <w:t>8.12. INEXISTENCIA DE VÍNCULO LABORAL</w:t>
      </w:r>
    </w:p>
    <w:p w14:paraId="109B5628" w14:textId="77777777" w:rsidR="00AC1F35" w:rsidRPr="00885568" w:rsidRDefault="00AC1F35" w:rsidP="00AC1F35">
      <w:pPr>
        <w:jc w:val="both"/>
        <w:rPr>
          <w:rFonts w:ascii="Garamond" w:hAnsi="Garamond" w:cs="Arial"/>
          <w:bCs/>
          <w:color w:val="000000"/>
          <w:sz w:val="24"/>
          <w:szCs w:val="24"/>
        </w:rPr>
      </w:pPr>
    </w:p>
    <w:p w14:paraId="06391F32" w14:textId="77777777" w:rsidR="00170CBD" w:rsidRPr="00885568" w:rsidRDefault="00170CBD" w:rsidP="00170CBD">
      <w:pPr>
        <w:jc w:val="both"/>
        <w:rPr>
          <w:rFonts w:ascii="Garamond" w:hAnsi="Garamond" w:cs="Arial"/>
          <w:b/>
          <w:bCs/>
          <w:sz w:val="24"/>
          <w:szCs w:val="24"/>
          <w:u w:val="single"/>
        </w:rPr>
      </w:pPr>
      <w:r w:rsidRPr="00885568">
        <w:rPr>
          <w:rFonts w:ascii="Garamond" w:hAnsi="Garamond" w:cs="Arial"/>
          <w:sz w:val="24"/>
          <w:szCs w:val="24"/>
        </w:rPr>
        <w:t xml:space="preserve">En ningún caso el presente convenio interadministrativo genera relación laboral ni prestaciones sociales. En tal virtud, LAS PARTES ejecutarán el objeto de este convenio interadministrativo con total autonomía técnica y administrativa y sin subordinación frente a la Agencia Distrital para la Educación Superior, la Ciencia y la Tecnología - ATENEA Capital. Por lo tanto, no habrá vínculo laboral alguno entre el FONDO DE DESARROLLO LOCAL y la AGENCIA ATENEA, ni entre el personal que llegare a utilizar el FONDO DE DESARROLLO LOCAL y la Agencia ATENEA. El personal que requiriere las partes para el cumplimiento del convenio interadministrativo, si ello fuere </w:t>
      </w:r>
      <w:r w:rsidRPr="00885568">
        <w:rPr>
          <w:rFonts w:ascii="Garamond" w:hAnsi="Garamond" w:cs="Arial"/>
          <w:sz w:val="24"/>
          <w:szCs w:val="24"/>
        </w:rPr>
        <w:lastRenderedPageBreak/>
        <w:t>del caso, serán de su exclusiva responsabilidad y la AGENCIA ATENEA no asume responsabilidad laboral alguna con ellos. Será obligación del Fondo De Desarrollo Local cumplir estrictamente todas las obligaciones establecidas en la Ley 100 de 1993, los Decretos reglamentarios y todo el marco normativo que regula el Sistema Integral de Seguridad Social, así como suministrar al Supervisor y/o Interventor, según sea el caso, la información que se requiera.</w:t>
      </w:r>
    </w:p>
    <w:p w14:paraId="506C3F67" w14:textId="4A1B54F8" w:rsidR="00AC1F35" w:rsidRPr="00885568" w:rsidRDefault="00AC1F35" w:rsidP="00AC1F35">
      <w:pPr>
        <w:jc w:val="both"/>
        <w:rPr>
          <w:rFonts w:ascii="Garamond" w:hAnsi="Garamond" w:cs="Arial"/>
          <w:bCs/>
          <w:color w:val="000000"/>
          <w:sz w:val="24"/>
          <w:szCs w:val="24"/>
        </w:rPr>
      </w:pPr>
    </w:p>
    <w:p w14:paraId="63C9201E" w14:textId="0E274D63" w:rsidR="00AC1F35" w:rsidRPr="00885568" w:rsidRDefault="00330203" w:rsidP="00AC1F35">
      <w:pPr>
        <w:jc w:val="both"/>
        <w:rPr>
          <w:rFonts w:ascii="Garamond" w:hAnsi="Garamond" w:cs="Arial"/>
          <w:b/>
          <w:bCs/>
          <w:color w:val="000000"/>
          <w:sz w:val="24"/>
          <w:szCs w:val="24"/>
        </w:rPr>
      </w:pPr>
      <w:r w:rsidRPr="00885568">
        <w:rPr>
          <w:rFonts w:ascii="Garamond" w:hAnsi="Garamond" w:cs="Arial"/>
          <w:b/>
          <w:bCs/>
          <w:color w:val="000000"/>
          <w:sz w:val="24"/>
          <w:szCs w:val="24"/>
        </w:rPr>
        <w:t xml:space="preserve">8.13. </w:t>
      </w:r>
      <w:r w:rsidR="00AC1F35" w:rsidRPr="00885568">
        <w:rPr>
          <w:rFonts w:ascii="Garamond" w:hAnsi="Garamond" w:cs="Arial"/>
          <w:b/>
          <w:bCs/>
          <w:color w:val="000000"/>
          <w:sz w:val="24"/>
          <w:szCs w:val="24"/>
        </w:rPr>
        <w:t>PACTO FRENTE A LOS DERECHOS DE LOS NIÑOS – PREVENCIÓN Y ERRADICACIÓN DEL TRABAJO INFANTIL</w:t>
      </w:r>
    </w:p>
    <w:p w14:paraId="35E2069A" w14:textId="77777777" w:rsidR="00AC1F35" w:rsidRPr="00885568" w:rsidRDefault="00AC1F35" w:rsidP="00AC1F35">
      <w:pPr>
        <w:jc w:val="both"/>
        <w:rPr>
          <w:rFonts w:ascii="Garamond" w:hAnsi="Garamond" w:cs="Arial"/>
          <w:bCs/>
          <w:color w:val="000000"/>
          <w:sz w:val="24"/>
          <w:szCs w:val="24"/>
        </w:rPr>
      </w:pPr>
    </w:p>
    <w:p w14:paraId="1E2EB286" w14:textId="03135891" w:rsidR="002E31CD" w:rsidRPr="00885568" w:rsidRDefault="002E31CD" w:rsidP="002E31CD">
      <w:pPr>
        <w:jc w:val="both"/>
        <w:rPr>
          <w:rFonts w:ascii="Garamond" w:hAnsi="Garamond" w:cs="Arial"/>
          <w:sz w:val="24"/>
          <w:szCs w:val="24"/>
        </w:rPr>
      </w:pPr>
      <w:r w:rsidRPr="00885568">
        <w:rPr>
          <w:rFonts w:ascii="Garamond" w:hAnsi="Garamond" w:cs="Arial"/>
          <w:sz w:val="24"/>
          <w:szCs w:val="24"/>
        </w:rPr>
        <w:t>Además de lo aquí dispuesto, de conformidad con lo previsto en las Directivas 003 y 004 de 2010 y en la Circular 001 de 2011 de la Alcaldía Mayor de Bogotá, D.C., el FONDO DE DESARROLLO LOCAL</w:t>
      </w:r>
      <w:r w:rsidR="00560407">
        <w:rPr>
          <w:rFonts w:ascii="Garamond" w:hAnsi="Garamond" w:cs="Arial"/>
          <w:sz w:val="24"/>
          <w:szCs w:val="24"/>
        </w:rPr>
        <w:t xml:space="preserve"> DE LOS MÁRTIRES</w:t>
      </w:r>
      <w:r w:rsidRPr="00885568">
        <w:rPr>
          <w:rFonts w:ascii="Garamond" w:hAnsi="Garamond" w:cs="Arial"/>
          <w:sz w:val="24"/>
          <w:szCs w:val="24"/>
        </w:rPr>
        <w:t xml:space="preserve"> se compromete a no contratar menores de edad, en cumplimiento de los pactos, convenios y convenciones internacionales ratificados por Colombia, según lo establece la Constitución Política de 1991 y demás normas vigentes sobre la materia, en particular aquellas que consagran los derechos de los niños.</w:t>
      </w:r>
    </w:p>
    <w:p w14:paraId="2FD7B4CE" w14:textId="0160D477" w:rsidR="00AC1F35" w:rsidRPr="00885568" w:rsidRDefault="00AC1F35" w:rsidP="00AC1F35">
      <w:pPr>
        <w:jc w:val="both"/>
        <w:rPr>
          <w:rFonts w:ascii="Garamond" w:hAnsi="Garamond" w:cs="Arial"/>
          <w:bCs/>
          <w:color w:val="000000"/>
          <w:sz w:val="24"/>
          <w:szCs w:val="24"/>
        </w:rPr>
      </w:pPr>
    </w:p>
    <w:p w14:paraId="01400F58" w14:textId="64EEBA6A" w:rsidR="00AC1F35" w:rsidRPr="00885568" w:rsidRDefault="00AA6787" w:rsidP="00AC1F35">
      <w:pPr>
        <w:jc w:val="both"/>
        <w:rPr>
          <w:rFonts w:ascii="Garamond" w:hAnsi="Garamond" w:cs="Arial"/>
          <w:b/>
          <w:bCs/>
          <w:color w:val="000000"/>
          <w:sz w:val="24"/>
          <w:szCs w:val="24"/>
        </w:rPr>
      </w:pPr>
      <w:r w:rsidRPr="00885568">
        <w:rPr>
          <w:rFonts w:ascii="Garamond" w:hAnsi="Garamond" w:cs="Arial"/>
          <w:b/>
          <w:bCs/>
          <w:color w:val="000000"/>
          <w:sz w:val="24"/>
          <w:szCs w:val="24"/>
        </w:rPr>
        <w:t>8.14. DIFERENCIAS ENTRE LAS PARTES</w:t>
      </w:r>
    </w:p>
    <w:p w14:paraId="1199418B" w14:textId="77777777" w:rsidR="00AC1F35" w:rsidRPr="00885568" w:rsidRDefault="00AC1F35" w:rsidP="00AC1F35">
      <w:pPr>
        <w:jc w:val="both"/>
        <w:rPr>
          <w:rFonts w:ascii="Garamond" w:hAnsi="Garamond" w:cs="Arial"/>
          <w:bCs/>
          <w:color w:val="000000"/>
          <w:sz w:val="24"/>
          <w:szCs w:val="24"/>
        </w:rPr>
      </w:pPr>
    </w:p>
    <w:p w14:paraId="45622959" w14:textId="77777777" w:rsidR="00E833D4" w:rsidRPr="00885568" w:rsidRDefault="00E833D4" w:rsidP="00E833D4">
      <w:pPr>
        <w:jc w:val="both"/>
        <w:rPr>
          <w:rFonts w:ascii="Garamond" w:hAnsi="Garamond" w:cs="Arial"/>
          <w:b/>
          <w:bCs/>
          <w:sz w:val="24"/>
          <w:szCs w:val="24"/>
          <w:u w:val="single"/>
        </w:rPr>
      </w:pPr>
      <w:r w:rsidRPr="00885568">
        <w:rPr>
          <w:rFonts w:ascii="Garamond" w:hAnsi="Garamond" w:cs="Arial"/>
          <w:sz w:val="24"/>
          <w:szCs w:val="24"/>
        </w:rPr>
        <w:t>Cualquier diferencia que surja entre las partes por la ejecución, interpretación, terminación o liquidación del presente contrato y en general, sobre los derechos y obligaciones derivados del mismo, durante su etapa precontractual, contractual y poscontractual se solucionará primero por las partes, mediante arreglo directo. En caso de no llegar a un acuerdo, las partes convienen hacer uso de los mecanismos de solución previstos en la Ley, tales como la conciliación, amigable composición, transacción y/o de las eventuales controversias de las que no se obtengan solución podrán ser competencia de la Jurisdicción Contencioso Administrativa. Los gastos relacionados con los mecanismos alternativos de solución de conflictos serán asumidos en partes iguales.</w:t>
      </w:r>
    </w:p>
    <w:p w14:paraId="665C3A63" w14:textId="77777777" w:rsidR="00AC1F35" w:rsidRPr="00885568" w:rsidRDefault="00AC1F35" w:rsidP="00AC1F35">
      <w:pPr>
        <w:jc w:val="both"/>
        <w:rPr>
          <w:rFonts w:ascii="Garamond" w:hAnsi="Garamond" w:cs="Arial"/>
          <w:bCs/>
          <w:color w:val="000000"/>
          <w:sz w:val="24"/>
          <w:szCs w:val="24"/>
        </w:rPr>
      </w:pPr>
    </w:p>
    <w:p w14:paraId="7B38CF5D" w14:textId="2A979305" w:rsidR="00AC1F35" w:rsidRPr="00885568" w:rsidRDefault="00B839C9" w:rsidP="00AC1F35">
      <w:pPr>
        <w:jc w:val="both"/>
        <w:rPr>
          <w:rFonts w:ascii="Garamond" w:hAnsi="Garamond" w:cs="Arial"/>
          <w:b/>
          <w:bCs/>
          <w:color w:val="000000"/>
          <w:sz w:val="24"/>
          <w:szCs w:val="24"/>
        </w:rPr>
      </w:pPr>
      <w:r w:rsidRPr="00885568">
        <w:rPr>
          <w:rFonts w:ascii="Garamond" w:hAnsi="Garamond" w:cs="Arial"/>
          <w:b/>
          <w:bCs/>
          <w:color w:val="000000"/>
          <w:sz w:val="24"/>
          <w:szCs w:val="24"/>
        </w:rPr>
        <w:t>8.15. SUSPENSIÓN GENERAL</w:t>
      </w:r>
    </w:p>
    <w:p w14:paraId="4D781619" w14:textId="77777777" w:rsidR="00AC1F35" w:rsidRPr="00885568" w:rsidRDefault="00AC1F35" w:rsidP="00AC1F35">
      <w:pPr>
        <w:jc w:val="both"/>
        <w:rPr>
          <w:rFonts w:ascii="Garamond" w:hAnsi="Garamond" w:cs="Arial"/>
          <w:bCs/>
          <w:color w:val="000000"/>
          <w:sz w:val="24"/>
          <w:szCs w:val="24"/>
        </w:rPr>
      </w:pPr>
    </w:p>
    <w:p w14:paraId="74A231DB" w14:textId="77777777" w:rsidR="00E27AEA" w:rsidRPr="00885568" w:rsidRDefault="00E27AEA" w:rsidP="00E27AEA">
      <w:pPr>
        <w:jc w:val="both"/>
        <w:rPr>
          <w:rFonts w:ascii="Garamond" w:hAnsi="Garamond" w:cs="Arial"/>
          <w:sz w:val="24"/>
          <w:szCs w:val="24"/>
        </w:rPr>
      </w:pPr>
      <w:r w:rsidRPr="00885568">
        <w:rPr>
          <w:rFonts w:ascii="Garamond" w:hAnsi="Garamond" w:cs="Arial"/>
          <w:sz w:val="24"/>
          <w:szCs w:val="24"/>
        </w:rPr>
        <w:t xml:space="preserve">El plazo de ejecución del presente convenio podrá suspenderse en los siguientes eventos:  A- Por circunstancias imprevistas, de caso fortuito o fuerza mayor.  B- Por mutuo acuerdo, siempre que de ello no se deriven mayores costos para las partes, ni se causen perjuicios a las mismas, y en todo caso, que no tenga afectación la formación de los jóvenes beneficiarios del Programa. C- Por imposibilidad del objeto.  </w:t>
      </w:r>
    </w:p>
    <w:p w14:paraId="0D5F9878" w14:textId="77777777" w:rsidR="00E27AEA" w:rsidRPr="00885568" w:rsidRDefault="00E27AEA" w:rsidP="00E27AEA">
      <w:pPr>
        <w:jc w:val="both"/>
        <w:rPr>
          <w:rFonts w:ascii="Garamond" w:hAnsi="Garamond" w:cs="Arial"/>
          <w:sz w:val="24"/>
          <w:szCs w:val="24"/>
        </w:rPr>
      </w:pPr>
    </w:p>
    <w:p w14:paraId="2768FB74" w14:textId="77777777" w:rsidR="00E27AEA" w:rsidRPr="00885568" w:rsidRDefault="00E27AEA" w:rsidP="00E27AEA">
      <w:pPr>
        <w:jc w:val="both"/>
        <w:rPr>
          <w:rFonts w:ascii="Garamond" w:hAnsi="Garamond" w:cs="Arial"/>
          <w:sz w:val="24"/>
          <w:szCs w:val="24"/>
        </w:rPr>
      </w:pPr>
      <w:r w:rsidRPr="00885568">
        <w:rPr>
          <w:rFonts w:ascii="Garamond" w:hAnsi="Garamond" w:cs="Arial"/>
          <w:b/>
          <w:bCs/>
          <w:sz w:val="24"/>
          <w:szCs w:val="24"/>
        </w:rPr>
        <w:t xml:space="preserve">PARÁGRAFO 1. </w:t>
      </w:r>
      <w:r w:rsidRPr="00885568">
        <w:rPr>
          <w:rFonts w:ascii="Garamond" w:hAnsi="Garamond" w:cs="Arial"/>
          <w:sz w:val="24"/>
          <w:szCs w:val="24"/>
        </w:rPr>
        <w:t xml:space="preserve">La suspensión se hará constar en acta motivada, suscrita por las partes.  </w:t>
      </w:r>
    </w:p>
    <w:p w14:paraId="01834C0A" w14:textId="77777777" w:rsidR="00E27AEA" w:rsidRPr="00885568" w:rsidRDefault="00E27AEA" w:rsidP="00E27AEA">
      <w:pPr>
        <w:jc w:val="both"/>
        <w:rPr>
          <w:rFonts w:ascii="Garamond" w:hAnsi="Garamond" w:cs="Arial"/>
          <w:sz w:val="24"/>
          <w:szCs w:val="24"/>
        </w:rPr>
      </w:pPr>
      <w:r w:rsidRPr="00885568">
        <w:rPr>
          <w:rFonts w:ascii="Garamond" w:hAnsi="Garamond" w:cs="Arial"/>
          <w:b/>
          <w:bCs/>
          <w:sz w:val="24"/>
          <w:szCs w:val="24"/>
        </w:rPr>
        <w:t>PARÁGRAFO 2.</w:t>
      </w:r>
      <w:r w:rsidRPr="00885568">
        <w:rPr>
          <w:rFonts w:ascii="Garamond" w:hAnsi="Garamond" w:cs="Arial"/>
          <w:sz w:val="24"/>
          <w:szCs w:val="24"/>
        </w:rPr>
        <w:t xml:space="preserve"> El término de la suspensión no se computará para efectos de los plazos del convenio.  </w:t>
      </w:r>
    </w:p>
    <w:p w14:paraId="2508C645" w14:textId="77777777" w:rsidR="00E27AEA" w:rsidRPr="00885568" w:rsidRDefault="00E27AEA" w:rsidP="00E27AEA">
      <w:pPr>
        <w:jc w:val="both"/>
        <w:rPr>
          <w:rFonts w:ascii="Garamond" w:hAnsi="Garamond" w:cs="Arial"/>
          <w:b/>
          <w:bCs/>
          <w:sz w:val="24"/>
          <w:szCs w:val="24"/>
          <w:u w:val="single"/>
        </w:rPr>
      </w:pPr>
      <w:r w:rsidRPr="00885568">
        <w:rPr>
          <w:rFonts w:ascii="Garamond" w:hAnsi="Garamond" w:cs="Arial"/>
          <w:b/>
          <w:bCs/>
          <w:sz w:val="24"/>
          <w:szCs w:val="24"/>
        </w:rPr>
        <w:lastRenderedPageBreak/>
        <w:t>PARÁGRAFO 3.</w:t>
      </w:r>
      <w:r w:rsidRPr="00885568">
        <w:rPr>
          <w:rFonts w:ascii="Garamond" w:hAnsi="Garamond" w:cs="Arial"/>
          <w:sz w:val="24"/>
          <w:szCs w:val="24"/>
        </w:rPr>
        <w:t xml:space="preserve"> Los efectos, así como las posibles afectaciones a terceros y su tratamiento deberán hacer parte de las consideraciones que se establezcan en la correspondiente acta de suspensión.</w:t>
      </w:r>
    </w:p>
    <w:p w14:paraId="1BB6C3CA" w14:textId="77777777" w:rsidR="007A5A63" w:rsidRPr="00885568" w:rsidRDefault="007A5A63" w:rsidP="00AC1F35">
      <w:pPr>
        <w:jc w:val="both"/>
        <w:rPr>
          <w:rFonts w:ascii="Garamond" w:hAnsi="Garamond" w:cs="Arial"/>
          <w:bCs/>
          <w:color w:val="000000"/>
          <w:sz w:val="24"/>
          <w:szCs w:val="24"/>
        </w:rPr>
      </w:pPr>
    </w:p>
    <w:p w14:paraId="7E808F80" w14:textId="5C7010AC" w:rsidR="00AC1F35" w:rsidRPr="00885568" w:rsidRDefault="00124E18" w:rsidP="00AC1F35">
      <w:pPr>
        <w:jc w:val="both"/>
        <w:rPr>
          <w:rFonts w:ascii="Garamond" w:hAnsi="Garamond" w:cs="Arial"/>
          <w:b/>
          <w:bCs/>
          <w:color w:val="000000"/>
          <w:sz w:val="24"/>
          <w:szCs w:val="24"/>
        </w:rPr>
      </w:pPr>
      <w:r w:rsidRPr="00885568">
        <w:rPr>
          <w:rFonts w:ascii="Garamond" w:hAnsi="Garamond" w:cs="Arial"/>
          <w:b/>
          <w:bCs/>
          <w:color w:val="000000"/>
          <w:sz w:val="24"/>
          <w:szCs w:val="24"/>
        </w:rPr>
        <w:t>8.16. CONFIDENCIALIDAD</w:t>
      </w:r>
    </w:p>
    <w:p w14:paraId="250E180A" w14:textId="77777777" w:rsidR="00AC1F35" w:rsidRPr="00885568" w:rsidRDefault="00AC1F35" w:rsidP="00AC1F35">
      <w:pPr>
        <w:jc w:val="both"/>
        <w:rPr>
          <w:rFonts w:ascii="Garamond" w:hAnsi="Garamond" w:cs="Arial"/>
          <w:bCs/>
          <w:color w:val="000000"/>
          <w:sz w:val="24"/>
          <w:szCs w:val="24"/>
        </w:rPr>
      </w:pPr>
    </w:p>
    <w:p w14:paraId="30795888" w14:textId="30996DB1" w:rsidR="00AC1F35" w:rsidRPr="00885568" w:rsidRDefault="00AB5087" w:rsidP="00AC1F35">
      <w:pPr>
        <w:jc w:val="both"/>
        <w:rPr>
          <w:rFonts w:ascii="Garamond" w:hAnsi="Garamond" w:cs="Arial"/>
          <w:bCs/>
          <w:color w:val="000000"/>
          <w:sz w:val="24"/>
          <w:szCs w:val="24"/>
        </w:rPr>
      </w:pPr>
      <w:r w:rsidRPr="00885568">
        <w:rPr>
          <w:rFonts w:ascii="Garamond" w:hAnsi="Garamond" w:cs="Arial"/>
          <w:bCs/>
          <w:color w:val="000000"/>
          <w:sz w:val="24"/>
          <w:szCs w:val="24"/>
        </w:rPr>
        <w:t>Las partes del acuerdo se obligan a cumplir con los principios de legalidad, finalidad, libertad, veracidad o calidad, transparencia, acceso y circulación restringida, seguridad y confidencialidad establecidos en la Ley Estatutaria 1581 de 2012 y con las demás normas concordantes sobre protección de datos personales Para la protección, reserva y confidencialidad de la información también se deberá tener en cuenta lo estipulado en las políticas de seguridad de la información y de tratamiento de datos de la Agencia Distrital para la Educación Superior, la Ciencia y la Tecnología Atenea. Lo anterior de conformidad con las normas vigentes y el Acuerdo de Nivel de Servicios para el Intercambio de Información.</w:t>
      </w:r>
    </w:p>
    <w:p w14:paraId="0911DED8" w14:textId="77777777" w:rsidR="00AB5087" w:rsidRPr="00885568" w:rsidRDefault="00AB5087" w:rsidP="00AC1F35">
      <w:pPr>
        <w:jc w:val="both"/>
        <w:rPr>
          <w:rFonts w:ascii="Garamond" w:hAnsi="Garamond" w:cs="Arial"/>
          <w:bCs/>
          <w:color w:val="000000"/>
          <w:sz w:val="24"/>
          <w:szCs w:val="24"/>
        </w:rPr>
      </w:pPr>
    </w:p>
    <w:p w14:paraId="3A463053" w14:textId="2DAA1F46" w:rsidR="00AC1F35" w:rsidRPr="00885568" w:rsidRDefault="00F22265" w:rsidP="00AC1F35">
      <w:pPr>
        <w:jc w:val="both"/>
        <w:rPr>
          <w:rFonts w:ascii="Garamond" w:hAnsi="Garamond" w:cs="Arial"/>
          <w:b/>
          <w:bCs/>
          <w:color w:val="000000"/>
          <w:sz w:val="24"/>
          <w:szCs w:val="24"/>
        </w:rPr>
      </w:pPr>
      <w:r w:rsidRPr="00885568">
        <w:rPr>
          <w:rFonts w:ascii="Garamond" w:hAnsi="Garamond" w:cs="Arial"/>
          <w:b/>
          <w:bCs/>
          <w:color w:val="000000"/>
          <w:sz w:val="24"/>
          <w:szCs w:val="24"/>
        </w:rPr>
        <w:t>8.17. DERECHOS DE AUTOR</w:t>
      </w:r>
    </w:p>
    <w:p w14:paraId="31B8AE9A" w14:textId="77777777" w:rsidR="00AC1F35" w:rsidRPr="00885568" w:rsidRDefault="00AC1F35" w:rsidP="00AC1F35">
      <w:pPr>
        <w:jc w:val="both"/>
        <w:rPr>
          <w:rFonts w:ascii="Garamond" w:hAnsi="Garamond" w:cs="Arial"/>
          <w:bCs/>
          <w:color w:val="000000"/>
          <w:sz w:val="24"/>
          <w:szCs w:val="24"/>
        </w:rPr>
      </w:pPr>
    </w:p>
    <w:p w14:paraId="7BBA82EA" w14:textId="77777777" w:rsidR="001D4C18" w:rsidRPr="00885568" w:rsidRDefault="001D4C18" w:rsidP="001D4C18">
      <w:pPr>
        <w:jc w:val="both"/>
        <w:rPr>
          <w:rFonts w:ascii="Garamond" w:hAnsi="Garamond" w:cs="Arial"/>
          <w:sz w:val="24"/>
          <w:szCs w:val="24"/>
        </w:rPr>
      </w:pPr>
      <w:r w:rsidRPr="00885568">
        <w:rPr>
          <w:rFonts w:ascii="Garamond" w:hAnsi="Garamond" w:cs="Arial"/>
          <w:sz w:val="24"/>
          <w:szCs w:val="24"/>
        </w:rPr>
        <w:t>Los derechos patrimoniales sobre los productos que se realicen en virtud del cumplimiento de las obligaciones y entregables establecidos en el convenio, serán a perpetuidad 100% de propiedad de la Agencia Distrital  para la Educación Superior, la Ciencia y la Tecnología - ATENEA , lo anterior de conformidad con lo establecido en la Ley 23 de 1982 modificada por las Leyes 44 de 1993, 1450 de 2011 y demás normas vigentes que regulen la materia, sin perjuicio al derecho moral consagrado en el artículo 11 de la Directiva Andina 351 de 1993 concordante con el artículo 30 de la Ley 23 de 1982 en caso que aplique. Adicionalmente, en el evento que el Fondo de Desarrollo Local requieran utilizar la información derivada de la ejecución del convenio a futuro, lo podrá realizar previa autorización de la Agencia Distrital para la Educación Superior, la Ciencia y la Tecnología - ATENEA. En el caso de utilización de las imágenes corporativas (logos o marcas), se deberá dar cumplimiento a los reglamentos y normas de cada entidad para el uso y utilización de estas.</w:t>
      </w:r>
    </w:p>
    <w:p w14:paraId="01E23BED" w14:textId="77777777" w:rsidR="00AC1F35" w:rsidRPr="00885568" w:rsidRDefault="00AC1F35" w:rsidP="00AC1F35">
      <w:pPr>
        <w:jc w:val="both"/>
        <w:rPr>
          <w:rFonts w:ascii="Garamond" w:hAnsi="Garamond" w:cs="Arial"/>
          <w:bCs/>
          <w:color w:val="000000"/>
          <w:sz w:val="24"/>
          <w:szCs w:val="24"/>
        </w:rPr>
      </w:pPr>
    </w:p>
    <w:p w14:paraId="5F21AEBD" w14:textId="3214DD35" w:rsidR="00AC1F35" w:rsidRPr="00885568" w:rsidRDefault="00B75132" w:rsidP="00AC1F35">
      <w:pPr>
        <w:jc w:val="both"/>
        <w:rPr>
          <w:rFonts w:ascii="Garamond" w:hAnsi="Garamond" w:cs="Arial"/>
          <w:b/>
          <w:bCs/>
          <w:color w:val="000000"/>
          <w:sz w:val="24"/>
          <w:szCs w:val="24"/>
        </w:rPr>
      </w:pPr>
      <w:r w:rsidRPr="00885568">
        <w:rPr>
          <w:rFonts w:ascii="Garamond" w:hAnsi="Garamond" w:cs="Arial"/>
          <w:b/>
          <w:bCs/>
          <w:color w:val="000000"/>
          <w:sz w:val="24"/>
          <w:szCs w:val="24"/>
        </w:rPr>
        <w:t>8.18. INDEMNIDAD</w:t>
      </w:r>
    </w:p>
    <w:p w14:paraId="65770FE5" w14:textId="77777777" w:rsidR="00B94F08" w:rsidRPr="00885568" w:rsidRDefault="00B94F08" w:rsidP="00AC1F35">
      <w:pPr>
        <w:jc w:val="both"/>
        <w:rPr>
          <w:rFonts w:ascii="Garamond" w:hAnsi="Garamond" w:cs="Arial"/>
          <w:b/>
          <w:bCs/>
          <w:color w:val="000000"/>
          <w:sz w:val="24"/>
          <w:szCs w:val="24"/>
        </w:rPr>
      </w:pPr>
    </w:p>
    <w:p w14:paraId="79E30A60" w14:textId="67BE8574" w:rsidR="00AC1F35" w:rsidRPr="00885568" w:rsidRDefault="00D44F5F" w:rsidP="00AC1F35">
      <w:pPr>
        <w:jc w:val="both"/>
        <w:rPr>
          <w:rFonts w:ascii="Garamond" w:hAnsi="Garamond" w:cs="Arial"/>
          <w:bCs/>
          <w:color w:val="000000"/>
          <w:sz w:val="24"/>
          <w:szCs w:val="24"/>
        </w:rPr>
      </w:pPr>
      <w:r w:rsidRPr="00885568">
        <w:rPr>
          <w:rFonts w:ascii="Garamond" w:hAnsi="Garamond" w:cs="Arial"/>
          <w:bCs/>
          <w:color w:val="000000"/>
          <w:sz w:val="24"/>
          <w:szCs w:val="24"/>
        </w:rPr>
        <w:t>LAS PARTES al tenor de lo normado en el Decreto 1082 de 2015, se obligan a mantenerse indemnes entre ellas respecto de cualquier reclamación proveniente de terceros que tenga como causa la actuación o actuaciones de sus subordinados o dependientes.</w:t>
      </w:r>
    </w:p>
    <w:p w14:paraId="1611F2DF" w14:textId="77777777" w:rsidR="00AC1F35" w:rsidRPr="00885568" w:rsidRDefault="00AC1F35" w:rsidP="00AC1F35">
      <w:pPr>
        <w:jc w:val="both"/>
        <w:rPr>
          <w:rFonts w:ascii="Garamond" w:hAnsi="Garamond" w:cs="Arial"/>
          <w:bCs/>
          <w:color w:val="000000"/>
          <w:sz w:val="24"/>
          <w:szCs w:val="24"/>
        </w:rPr>
      </w:pPr>
    </w:p>
    <w:p w14:paraId="499F215D" w14:textId="10AE19FE" w:rsidR="00AC1F35" w:rsidRPr="00885568" w:rsidRDefault="00591383" w:rsidP="00AC1F35">
      <w:pPr>
        <w:jc w:val="both"/>
        <w:rPr>
          <w:rFonts w:ascii="Garamond" w:hAnsi="Garamond" w:cs="Arial"/>
          <w:b/>
          <w:bCs/>
          <w:color w:val="000000"/>
          <w:sz w:val="24"/>
          <w:szCs w:val="24"/>
        </w:rPr>
      </w:pPr>
      <w:r w:rsidRPr="00885568">
        <w:rPr>
          <w:rFonts w:ascii="Garamond" w:hAnsi="Garamond" w:cs="Arial"/>
          <w:b/>
          <w:bCs/>
          <w:color w:val="000000"/>
          <w:sz w:val="24"/>
          <w:szCs w:val="24"/>
        </w:rPr>
        <w:t>8.19. COMPROMISO ANTICORRUPCIÓN</w:t>
      </w:r>
    </w:p>
    <w:p w14:paraId="78CFCA25" w14:textId="77777777" w:rsidR="00AC1F35" w:rsidRPr="00885568" w:rsidRDefault="00AC1F35" w:rsidP="00AC1F35">
      <w:pPr>
        <w:jc w:val="both"/>
        <w:rPr>
          <w:rFonts w:ascii="Garamond" w:hAnsi="Garamond" w:cs="Arial"/>
          <w:bCs/>
          <w:color w:val="000000"/>
          <w:sz w:val="24"/>
          <w:szCs w:val="24"/>
        </w:rPr>
      </w:pPr>
    </w:p>
    <w:p w14:paraId="47EE7A4E" w14:textId="5AB50EF6" w:rsidR="00D829D6" w:rsidRPr="00885568" w:rsidRDefault="00D829D6" w:rsidP="00D829D6">
      <w:pPr>
        <w:jc w:val="both"/>
        <w:rPr>
          <w:rFonts w:ascii="Garamond" w:hAnsi="Garamond" w:cs="Arial"/>
          <w:bCs/>
          <w:color w:val="000000"/>
          <w:sz w:val="24"/>
          <w:szCs w:val="24"/>
          <w:lang w:val="es-ES"/>
        </w:rPr>
      </w:pPr>
      <w:r w:rsidRPr="00885568">
        <w:rPr>
          <w:rFonts w:ascii="Garamond" w:hAnsi="Garamond" w:cs="Arial"/>
          <w:bCs/>
          <w:color w:val="000000"/>
          <w:sz w:val="24"/>
          <w:szCs w:val="24"/>
          <w:lang w:val="es-ES"/>
        </w:rPr>
        <w:t xml:space="preserve">Las PARTES se obligan a no incurrir en conductas o actos constitutivos de corrupción, so pena de incumplimiento del Convenio Interadministrativo, entre otras: </w:t>
      </w:r>
    </w:p>
    <w:p w14:paraId="6F0BD1C6" w14:textId="77777777" w:rsidR="004438EF" w:rsidRPr="00885568" w:rsidRDefault="004438EF" w:rsidP="00D829D6">
      <w:pPr>
        <w:jc w:val="both"/>
        <w:rPr>
          <w:rFonts w:ascii="Garamond" w:hAnsi="Garamond" w:cs="Arial"/>
          <w:bCs/>
          <w:color w:val="000000"/>
          <w:sz w:val="24"/>
          <w:szCs w:val="24"/>
          <w:lang w:val="es-ES"/>
        </w:rPr>
      </w:pPr>
    </w:p>
    <w:p w14:paraId="3054F82C" w14:textId="77777777" w:rsidR="004438EF" w:rsidRPr="00885568" w:rsidRDefault="00D829D6" w:rsidP="0055486F">
      <w:pPr>
        <w:pStyle w:val="Prrafodelista"/>
        <w:numPr>
          <w:ilvl w:val="3"/>
          <w:numId w:val="11"/>
        </w:numPr>
        <w:ind w:left="142"/>
        <w:jc w:val="both"/>
        <w:rPr>
          <w:rFonts w:ascii="Garamond" w:hAnsi="Garamond" w:cs="Arial"/>
          <w:bCs/>
          <w:color w:val="000000"/>
          <w:sz w:val="24"/>
          <w:szCs w:val="24"/>
          <w:lang w:val="es-ES"/>
        </w:rPr>
      </w:pPr>
      <w:r w:rsidRPr="00885568">
        <w:rPr>
          <w:rFonts w:ascii="Garamond" w:hAnsi="Garamond" w:cs="Arial"/>
          <w:bCs/>
          <w:color w:val="000000"/>
          <w:sz w:val="24"/>
          <w:szCs w:val="24"/>
          <w:lang w:val="es-ES"/>
        </w:rPr>
        <w:t xml:space="preserve">No ofrecer ni dar sobornos, ni ninguna otra forma de halago o dádiva a ningún funcionario público en relación con la propuesta o Convenio Interadministrativo que suscriba con ocasión del proceso de selección, ni tampoco permitir que sus empleados o contratistas lo hagan en su nombre. </w:t>
      </w:r>
    </w:p>
    <w:p w14:paraId="79722834" w14:textId="77777777" w:rsidR="004438EF" w:rsidRPr="00885568" w:rsidRDefault="00D829D6" w:rsidP="0055486F">
      <w:pPr>
        <w:pStyle w:val="Prrafodelista"/>
        <w:numPr>
          <w:ilvl w:val="3"/>
          <w:numId w:val="11"/>
        </w:numPr>
        <w:ind w:left="142"/>
        <w:jc w:val="both"/>
        <w:rPr>
          <w:rFonts w:ascii="Garamond" w:hAnsi="Garamond" w:cs="Arial"/>
          <w:bCs/>
          <w:color w:val="000000"/>
          <w:sz w:val="24"/>
          <w:szCs w:val="24"/>
          <w:lang w:val="es-ES"/>
        </w:rPr>
      </w:pPr>
      <w:r w:rsidRPr="00885568">
        <w:rPr>
          <w:rFonts w:ascii="Garamond" w:hAnsi="Garamond" w:cs="Arial"/>
          <w:bCs/>
          <w:color w:val="000000"/>
          <w:sz w:val="24"/>
          <w:szCs w:val="24"/>
          <w:lang w:val="es-ES"/>
        </w:rPr>
        <w:t xml:space="preserve">Dar aviso inmediato a la otra Parte o autoridades competentes de cualquier ofrecimiento, favor, dádiva o prerrogativas efectuadas por los interesados a los funcionarios públicos que intervengan de manera directa o indirectamente en el proceso de selección, con la intención de inducir alguna decisión relacionada con el proceso. </w:t>
      </w:r>
    </w:p>
    <w:p w14:paraId="04BBC7CD" w14:textId="77777777" w:rsidR="004438EF" w:rsidRPr="00885568" w:rsidRDefault="00D829D6" w:rsidP="0055486F">
      <w:pPr>
        <w:pStyle w:val="Prrafodelista"/>
        <w:numPr>
          <w:ilvl w:val="3"/>
          <w:numId w:val="11"/>
        </w:numPr>
        <w:ind w:left="142"/>
        <w:jc w:val="both"/>
        <w:rPr>
          <w:rFonts w:ascii="Garamond" w:hAnsi="Garamond" w:cs="Arial"/>
          <w:bCs/>
          <w:color w:val="000000"/>
          <w:sz w:val="24"/>
          <w:szCs w:val="24"/>
          <w:lang w:val="es-ES"/>
        </w:rPr>
      </w:pPr>
      <w:r w:rsidRPr="00885568">
        <w:rPr>
          <w:rFonts w:ascii="Garamond" w:hAnsi="Garamond" w:cs="Arial"/>
          <w:bCs/>
          <w:color w:val="000000"/>
          <w:sz w:val="24"/>
          <w:szCs w:val="24"/>
          <w:lang w:val="es-ES"/>
        </w:rPr>
        <w:t xml:space="preserve">No efectuar acuerdos previos, o realizar actos o conductas que tengan por objeto la colusión para tratar de influenciar o manipular en el proceso. </w:t>
      </w:r>
    </w:p>
    <w:p w14:paraId="2FB284DE" w14:textId="77777777" w:rsidR="004438EF" w:rsidRPr="00885568" w:rsidRDefault="00D829D6" w:rsidP="0055486F">
      <w:pPr>
        <w:pStyle w:val="Prrafodelista"/>
        <w:numPr>
          <w:ilvl w:val="3"/>
          <w:numId w:val="11"/>
        </w:numPr>
        <w:ind w:left="142"/>
        <w:jc w:val="both"/>
        <w:rPr>
          <w:rFonts w:ascii="Garamond" w:hAnsi="Garamond" w:cs="Arial"/>
          <w:bCs/>
          <w:color w:val="000000"/>
          <w:sz w:val="24"/>
          <w:szCs w:val="24"/>
          <w:lang w:val="es-ES"/>
        </w:rPr>
      </w:pPr>
      <w:r w:rsidRPr="00885568">
        <w:rPr>
          <w:rFonts w:ascii="Garamond" w:hAnsi="Garamond" w:cs="Arial"/>
          <w:bCs/>
          <w:color w:val="000000"/>
          <w:sz w:val="24"/>
          <w:szCs w:val="24"/>
          <w:lang w:val="es-ES"/>
        </w:rPr>
        <w:t xml:space="preserve">No incurrir en falsedad o alteración de los documentos exigidos para cumplir con los requisitos del proceso de selección; y, </w:t>
      </w:r>
    </w:p>
    <w:p w14:paraId="64CA3EB9" w14:textId="223A3FE9" w:rsidR="00D829D6" w:rsidRPr="00885568" w:rsidRDefault="00D829D6" w:rsidP="0055486F">
      <w:pPr>
        <w:pStyle w:val="Prrafodelista"/>
        <w:numPr>
          <w:ilvl w:val="3"/>
          <w:numId w:val="11"/>
        </w:numPr>
        <w:ind w:left="142"/>
        <w:jc w:val="both"/>
        <w:rPr>
          <w:rFonts w:ascii="Garamond" w:hAnsi="Garamond" w:cs="Arial"/>
          <w:bCs/>
          <w:color w:val="000000"/>
          <w:sz w:val="24"/>
          <w:szCs w:val="24"/>
          <w:lang w:val="es-ES"/>
        </w:rPr>
      </w:pPr>
      <w:r w:rsidRPr="00885568">
        <w:rPr>
          <w:rFonts w:ascii="Garamond" w:hAnsi="Garamond" w:cs="Arial"/>
          <w:bCs/>
          <w:color w:val="000000"/>
          <w:sz w:val="24"/>
          <w:szCs w:val="24"/>
          <w:lang w:val="es-ES"/>
        </w:rPr>
        <w:t>Demás actos o conductas que prohíbe la Constitución, La ley y/o reglamentos.</w:t>
      </w:r>
    </w:p>
    <w:p w14:paraId="26E91170" w14:textId="77777777" w:rsidR="00AC1F35" w:rsidRPr="00885568" w:rsidRDefault="00AC1F35" w:rsidP="00AC1F35">
      <w:pPr>
        <w:jc w:val="both"/>
        <w:rPr>
          <w:rFonts w:ascii="Garamond" w:hAnsi="Garamond" w:cs="Arial"/>
          <w:bCs/>
          <w:color w:val="000000"/>
          <w:sz w:val="24"/>
          <w:szCs w:val="24"/>
          <w:lang w:val="es-ES"/>
        </w:rPr>
      </w:pPr>
    </w:p>
    <w:p w14:paraId="564EB620" w14:textId="23B4DA9F" w:rsidR="00AC1F35" w:rsidRPr="00885568" w:rsidRDefault="0073126A" w:rsidP="00AC1F35">
      <w:pPr>
        <w:jc w:val="both"/>
        <w:rPr>
          <w:rFonts w:ascii="Garamond" w:hAnsi="Garamond" w:cs="Arial"/>
          <w:b/>
          <w:bCs/>
          <w:color w:val="000000"/>
          <w:sz w:val="24"/>
          <w:szCs w:val="24"/>
        </w:rPr>
      </w:pPr>
      <w:r w:rsidRPr="00885568">
        <w:rPr>
          <w:rFonts w:ascii="Garamond" w:hAnsi="Garamond" w:cs="Arial"/>
          <w:b/>
          <w:bCs/>
          <w:color w:val="000000"/>
          <w:sz w:val="24"/>
          <w:szCs w:val="24"/>
        </w:rPr>
        <w:t>8.20.</w:t>
      </w:r>
      <w:r w:rsidR="00AC1F35" w:rsidRPr="00885568">
        <w:rPr>
          <w:rFonts w:ascii="Garamond" w:hAnsi="Garamond" w:cs="Arial"/>
          <w:b/>
          <w:bCs/>
          <w:color w:val="000000"/>
          <w:sz w:val="24"/>
          <w:szCs w:val="24"/>
        </w:rPr>
        <w:t xml:space="preserve"> COMPROMISO DE INTEGRIDAD Y LA </w:t>
      </w:r>
      <w:r w:rsidRPr="00885568">
        <w:rPr>
          <w:rFonts w:ascii="Garamond" w:hAnsi="Garamond" w:cs="Arial"/>
          <w:b/>
          <w:bCs/>
          <w:color w:val="000000"/>
          <w:sz w:val="24"/>
          <w:szCs w:val="24"/>
        </w:rPr>
        <w:t>NO TOLERANCIA CON LA CORRUPCIÓN</w:t>
      </w:r>
    </w:p>
    <w:p w14:paraId="24ADCB8F" w14:textId="77777777" w:rsidR="00AC1F35" w:rsidRPr="00885568" w:rsidRDefault="00AC1F35" w:rsidP="00AC1F35">
      <w:pPr>
        <w:jc w:val="both"/>
        <w:rPr>
          <w:rFonts w:ascii="Garamond" w:hAnsi="Garamond" w:cs="Arial"/>
          <w:bCs/>
          <w:color w:val="000000"/>
          <w:sz w:val="24"/>
          <w:szCs w:val="24"/>
        </w:rPr>
      </w:pPr>
    </w:p>
    <w:p w14:paraId="3A66EFF0" w14:textId="77777777" w:rsidR="00AC1F35" w:rsidRPr="00885568" w:rsidRDefault="00AC1F35" w:rsidP="00AC1F35">
      <w:pPr>
        <w:jc w:val="both"/>
        <w:rPr>
          <w:rFonts w:ascii="Garamond" w:hAnsi="Garamond" w:cs="Arial"/>
          <w:bCs/>
          <w:color w:val="000000"/>
          <w:sz w:val="24"/>
          <w:szCs w:val="24"/>
        </w:rPr>
      </w:pPr>
      <w:r w:rsidRPr="00885568">
        <w:rPr>
          <w:rFonts w:ascii="Garamond" w:hAnsi="Garamond" w:cs="Arial"/>
          <w:bCs/>
          <w:color w:val="000000"/>
          <w:sz w:val="24"/>
          <w:szCs w:val="24"/>
        </w:rPr>
        <w:t>Las PARTES se comprometen a aunar esfuerzos para preservar, fortalecer y garantizar transparencia y la prevención de corrupción en la gestión contractual del presente proceso, así como durante la suscripción, ejecución y terminación del Convenio Interadministrativo, en el marco de los principios y normas constitucionales y en especial en lo dispuesto en el capítulo VII de la Ley 1474 de 2011 2011 ”Disposiciones para prevenir y combatir la corrupción en la contratación pública”, y el artículo 14 del Decreto Distrital 189 de 2020.</w:t>
      </w:r>
    </w:p>
    <w:p w14:paraId="1A0F8C80" w14:textId="77777777" w:rsidR="00AC1F35" w:rsidRPr="00885568" w:rsidRDefault="00AC1F35" w:rsidP="00AC1F35">
      <w:pPr>
        <w:jc w:val="both"/>
        <w:rPr>
          <w:rFonts w:ascii="Garamond" w:hAnsi="Garamond" w:cs="Arial"/>
          <w:b/>
          <w:bCs/>
          <w:color w:val="000000"/>
          <w:sz w:val="24"/>
          <w:szCs w:val="24"/>
        </w:rPr>
      </w:pPr>
    </w:p>
    <w:p w14:paraId="618DDAD2" w14:textId="7426DB2B" w:rsidR="00AC1F35" w:rsidRPr="00885568" w:rsidRDefault="009A2BB0" w:rsidP="00AC1F35">
      <w:pPr>
        <w:jc w:val="both"/>
        <w:rPr>
          <w:rFonts w:ascii="Garamond" w:hAnsi="Garamond" w:cs="Arial"/>
          <w:b/>
          <w:bCs/>
          <w:color w:val="000000"/>
          <w:sz w:val="24"/>
          <w:szCs w:val="24"/>
        </w:rPr>
      </w:pPr>
      <w:r w:rsidRPr="00885568">
        <w:rPr>
          <w:rFonts w:ascii="Garamond" w:hAnsi="Garamond" w:cs="Arial"/>
          <w:b/>
          <w:bCs/>
          <w:color w:val="000000"/>
          <w:sz w:val="24"/>
          <w:szCs w:val="24"/>
        </w:rPr>
        <w:t xml:space="preserve">8.21. </w:t>
      </w:r>
      <w:r w:rsidR="00AC1F35" w:rsidRPr="00885568">
        <w:rPr>
          <w:rFonts w:ascii="Garamond" w:hAnsi="Garamond" w:cs="Arial"/>
          <w:b/>
          <w:bCs/>
          <w:color w:val="000000"/>
          <w:sz w:val="24"/>
          <w:szCs w:val="24"/>
        </w:rPr>
        <w:t>MANUAL OPERATIVO</w:t>
      </w:r>
    </w:p>
    <w:p w14:paraId="1A109FB4" w14:textId="77777777" w:rsidR="00AC1F35" w:rsidRPr="00885568" w:rsidRDefault="00AC1F35" w:rsidP="00AC1F35">
      <w:pPr>
        <w:jc w:val="both"/>
        <w:rPr>
          <w:rFonts w:ascii="Garamond" w:hAnsi="Garamond" w:cs="Arial"/>
          <w:bCs/>
          <w:color w:val="000000"/>
          <w:sz w:val="24"/>
          <w:szCs w:val="24"/>
        </w:rPr>
      </w:pPr>
    </w:p>
    <w:p w14:paraId="30A539B0" w14:textId="05C0A4A1" w:rsidR="00DA7CB5" w:rsidRPr="00885568" w:rsidRDefault="00AC1F35" w:rsidP="005640FB">
      <w:pPr>
        <w:jc w:val="both"/>
        <w:rPr>
          <w:rFonts w:ascii="Garamond" w:hAnsi="Garamond" w:cs="Arial"/>
          <w:bCs/>
          <w:color w:val="000000"/>
          <w:sz w:val="24"/>
          <w:szCs w:val="24"/>
        </w:rPr>
      </w:pPr>
      <w:r w:rsidRPr="00885568">
        <w:rPr>
          <w:rFonts w:ascii="Garamond" w:hAnsi="Garamond" w:cs="Arial"/>
          <w:bCs/>
          <w:color w:val="000000"/>
          <w:sz w:val="24"/>
          <w:szCs w:val="24"/>
        </w:rPr>
        <w:t>Para los aspectos operativos y de ejecución que no se encuentren contemplados en el presente Estudio Previo, se hace expresa remisión al Manual Operativo, como documento anexo al presente instrumento, el cual también forma parte integral del Convenio. Cuando haya lugar a modificación de este documento, se podrán recibir comentarios y observaciones p</w:t>
      </w:r>
      <w:r w:rsidR="0053371E" w:rsidRPr="00885568">
        <w:rPr>
          <w:rFonts w:ascii="Garamond" w:hAnsi="Garamond" w:cs="Arial"/>
          <w:bCs/>
          <w:color w:val="000000"/>
          <w:sz w:val="24"/>
          <w:szCs w:val="24"/>
        </w:rPr>
        <w:t>or par</w:t>
      </w:r>
      <w:r w:rsidR="00560407">
        <w:rPr>
          <w:rFonts w:ascii="Garamond" w:hAnsi="Garamond" w:cs="Arial"/>
          <w:bCs/>
          <w:color w:val="000000"/>
          <w:sz w:val="24"/>
          <w:szCs w:val="24"/>
        </w:rPr>
        <w:t>te del FDL de Los Mártires</w:t>
      </w:r>
      <w:r w:rsidRPr="00885568">
        <w:rPr>
          <w:rFonts w:ascii="Garamond" w:hAnsi="Garamond" w:cs="Arial"/>
          <w:bCs/>
          <w:color w:val="000000"/>
          <w:sz w:val="24"/>
          <w:szCs w:val="24"/>
        </w:rPr>
        <w:t>.</w:t>
      </w:r>
    </w:p>
    <w:p w14:paraId="68470D46" w14:textId="40CFB91B" w:rsidR="00DA7CB5" w:rsidRPr="00885568" w:rsidRDefault="00DA7CB5" w:rsidP="005640FB">
      <w:pPr>
        <w:jc w:val="both"/>
        <w:rPr>
          <w:rFonts w:ascii="Garamond" w:hAnsi="Garamond" w:cs="Arial"/>
          <w:bCs/>
          <w:color w:val="000000"/>
          <w:sz w:val="24"/>
          <w:szCs w:val="24"/>
        </w:rPr>
      </w:pPr>
    </w:p>
    <w:p w14:paraId="7BFD1074" w14:textId="212060D0" w:rsidR="00DA7CB5" w:rsidRPr="00885568" w:rsidRDefault="00061E86" w:rsidP="005640FB">
      <w:pPr>
        <w:jc w:val="both"/>
        <w:rPr>
          <w:rFonts w:ascii="Garamond" w:hAnsi="Garamond" w:cs="Arial"/>
          <w:b/>
          <w:bCs/>
          <w:color w:val="000000"/>
          <w:sz w:val="24"/>
          <w:szCs w:val="24"/>
        </w:rPr>
      </w:pPr>
      <w:r w:rsidRPr="00885568">
        <w:rPr>
          <w:rFonts w:ascii="Garamond" w:hAnsi="Garamond" w:cs="Arial"/>
          <w:b/>
          <w:bCs/>
          <w:color w:val="000000"/>
          <w:sz w:val="24"/>
          <w:szCs w:val="24"/>
        </w:rPr>
        <w:t>ANEXOS:</w:t>
      </w:r>
    </w:p>
    <w:p w14:paraId="1837FD95" w14:textId="383D6198" w:rsidR="00061E86" w:rsidRPr="00136065" w:rsidRDefault="00061E86" w:rsidP="00136065">
      <w:pPr>
        <w:jc w:val="both"/>
        <w:rPr>
          <w:rFonts w:ascii="Garamond" w:hAnsi="Garamond" w:cs="Arial"/>
          <w:bCs/>
          <w:color w:val="000000"/>
          <w:sz w:val="24"/>
          <w:szCs w:val="24"/>
        </w:rPr>
      </w:pPr>
    </w:p>
    <w:p w14:paraId="2AFE370E" w14:textId="23E3CE32" w:rsidR="00061E86" w:rsidRPr="00885568" w:rsidRDefault="00061E86" w:rsidP="0055486F">
      <w:pPr>
        <w:pStyle w:val="Prrafodelista"/>
        <w:numPr>
          <w:ilvl w:val="0"/>
          <w:numId w:val="9"/>
        </w:numPr>
        <w:jc w:val="both"/>
        <w:rPr>
          <w:rFonts w:ascii="Garamond" w:hAnsi="Garamond" w:cs="Arial"/>
          <w:bCs/>
          <w:color w:val="000000"/>
          <w:sz w:val="24"/>
          <w:szCs w:val="24"/>
        </w:rPr>
      </w:pPr>
      <w:r w:rsidRPr="00885568">
        <w:rPr>
          <w:rFonts w:ascii="Garamond" w:hAnsi="Garamond" w:cs="Arial"/>
          <w:bCs/>
          <w:color w:val="000000"/>
          <w:sz w:val="24"/>
          <w:szCs w:val="24"/>
        </w:rPr>
        <w:t xml:space="preserve">Estudio del sector </w:t>
      </w:r>
    </w:p>
    <w:p w14:paraId="2A1285A2" w14:textId="7D1D939A" w:rsidR="000B76DF" w:rsidRPr="004A53A9" w:rsidRDefault="00061E86" w:rsidP="004A53A9">
      <w:pPr>
        <w:pStyle w:val="Prrafodelista"/>
        <w:numPr>
          <w:ilvl w:val="0"/>
          <w:numId w:val="9"/>
        </w:numPr>
        <w:jc w:val="both"/>
        <w:rPr>
          <w:rFonts w:ascii="Garamond" w:hAnsi="Garamond" w:cs="Arial"/>
          <w:bCs/>
          <w:color w:val="000000"/>
          <w:sz w:val="24"/>
          <w:szCs w:val="24"/>
        </w:rPr>
      </w:pPr>
      <w:r w:rsidRPr="00885568">
        <w:rPr>
          <w:rFonts w:ascii="Garamond" w:hAnsi="Garamond" w:cs="Arial"/>
          <w:bCs/>
          <w:color w:val="000000"/>
          <w:sz w:val="24"/>
          <w:szCs w:val="24"/>
        </w:rPr>
        <w:t xml:space="preserve">Matriz de riesgos </w:t>
      </w:r>
    </w:p>
    <w:p w14:paraId="2CB4043F" w14:textId="027037B8" w:rsidR="001F3D47" w:rsidRPr="00885568" w:rsidRDefault="001F3D47" w:rsidP="0055486F">
      <w:pPr>
        <w:pStyle w:val="Prrafodelista"/>
        <w:numPr>
          <w:ilvl w:val="0"/>
          <w:numId w:val="9"/>
        </w:numPr>
        <w:jc w:val="both"/>
        <w:rPr>
          <w:rFonts w:ascii="Garamond" w:hAnsi="Garamond" w:cs="Arial"/>
          <w:bCs/>
          <w:color w:val="000000"/>
          <w:sz w:val="24"/>
          <w:szCs w:val="24"/>
        </w:rPr>
      </w:pPr>
      <w:r>
        <w:rPr>
          <w:rFonts w:ascii="Garamond" w:hAnsi="Garamond" w:cs="Arial"/>
          <w:bCs/>
          <w:color w:val="000000"/>
          <w:sz w:val="24"/>
          <w:szCs w:val="24"/>
        </w:rPr>
        <w:t xml:space="preserve">Manual operativo </w:t>
      </w:r>
    </w:p>
    <w:p w14:paraId="46A72A66" w14:textId="2F230E5C" w:rsidR="005640FB" w:rsidRDefault="005640FB" w:rsidP="005640FB">
      <w:pPr>
        <w:jc w:val="both"/>
        <w:rPr>
          <w:rFonts w:ascii="Garamond" w:hAnsi="Garamond" w:cs="Arial"/>
          <w:b/>
          <w:bCs/>
          <w:color w:val="000000"/>
          <w:sz w:val="24"/>
          <w:szCs w:val="24"/>
        </w:rPr>
      </w:pPr>
    </w:p>
    <w:p w14:paraId="397F8AA3" w14:textId="4F781437" w:rsidR="00EB7DC3" w:rsidRPr="00885568" w:rsidRDefault="00EB7DC3" w:rsidP="00EB7DC3">
      <w:pPr>
        <w:jc w:val="both"/>
        <w:rPr>
          <w:rFonts w:ascii="Garamond" w:hAnsi="Garamond" w:cs="Arial"/>
          <w:color w:val="808080"/>
          <w:sz w:val="24"/>
          <w:szCs w:val="24"/>
        </w:rPr>
      </w:pPr>
    </w:p>
    <w:p w14:paraId="6CF65DF6" w14:textId="77777777" w:rsidR="005A24F1" w:rsidRPr="00885568" w:rsidRDefault="003A079B" w:rsidP="005A24F1">
      <w:pPr>
        <w:jc w:val="both"/>
        <w:rPr>
          <w:rFonts w:ascii="Garamond" w:hAnsi="Garamond" w:cs="Arial"/>
          <w:color w:val="FF0000"/>
          <w:sz w:val="24"/>
          <w:szCs w:val="24"/>
        </w:rPr>
      </w:pPr>
      <w:r w:rsidRPr="00885568">
        <w:rPr>
          <w:rFonts w:ascii="Garamond" w:hAnsi="Garamond"/>
          <w:noProof/>
          <w:color w:val="FF0000"/>
          <w:sz w:val="24"/>
          <w:szCs w:val="24"/>
          <w:lang w:val="es-ES"/>
        </w:rPr>
        <mc:AlternateContent>
          <mc:Choice Requires="wps">
            <w:drawing>
              <wp:anchor distT="0" distB="0" distL="114300" distR="114300" simplePos="0" relativeHeight="251657728" behindDoc="0" locked="0" layoutInCell="1" allowOverlap="1" wp14:anchorId="454EAABF" wp14:editId="75F94C75">
                <wp:simplePos x="0" y="0"/>
                <wp:positionH relativeFrom="column">
                  <wp:posOffset>1828800</wp:posOffset>
                </wp:positionH>
                <wp:positionV relativeFrom="paragraph">
                  <wp:posOffset>100330</wp:posOffset>
                </wp:positionV>
                <wp:extent cx="24003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9FC90"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7.9pt" to="33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">
                <o:lock v:ext="edit" shapetype="f"/>
              </v:line>
            </w:pict>
          </mc:Fallback>
        </mc:AlternateContent>
      </w:r>
    </w:p>
    <w:p w14:paraId="427FA2E6" w14:textId="5E47A35D" w:rsidR="005A24F1" w:rsidRPr="00885568" w:rsidRDefault="00136065" w:rsidP="005A24F1">
      <w:pPr>
        <w:jc w:val="center"/>
        <w:rPr>
          <w:rFonts w:ascii="Garamond" w:hAnsi="Garamond" w:cs="Arial"/>
          <w:b/>
          <w:sz w:val="24"/>
          <w:szCs w:val="24"/>
        </w:rPr>
      </w:pPr>
      <w:r>
        <w:rPr>
          <w:rFonts w:ascii="Garamond" w:hAnsi="Garamond" w:cs="Arial"/>
          <w:b/>
          <w:noProof/>
          <w:sz w:val="24"/>
          <w:szCs w:val="24"/>
        </w:rPr>
        <w:t>JOHN JADER SUAREZ DELGADO</w:t>
      </w:r>
    </w:p>
    <w:p w14:paraId="13691095" w14:textId="6F0A224D" w:rsidR="00D0222B" w:rsidRPr="00FA42AB" w:rsidRDefault="00E70F45" w:rsidP="00FA42AB">
      <w:pPr>
        <w:jc w:val="center"/>
        <w:rPr>
          <w:rFonts w:ascii="Garamond" w:hAnsi="Garamond" w:cs="Arial"/>
          <w:b/>
          <w:sz w:val="24"/>
          <w:szCs w:val="24"/>
        </w:rPr>
      </w:pPr>
      <w:r w:rsidRPr="00885568">
        <w:rPr>
          <w:rFonts w:ascii="Garamond" w:hAnsi="Garamond" w:cs="Arial"/>
          <w:b/>
          <w:sz w:val="24"/>
          <w:szCs w:val="24"/>
        </w:rPr>
        <w:t>ALCALDE LO</w:t>
      </w:r>
      <w:r w:rsidR="00560407">
        <w:rPr>
          <w:rFonts w:ascii="Garamond" w:hAnsi="Garamond" w:cs="Arial"/>
          <w:b/>
          <w:sz w:val="24"/>
          <w:szCs w:val="24"/>
        </w:rPr>
        <w:t>CAL DE LOS MÁRTIRES</w:t>
      </w:r>
    </w:p>
    <w:p w14:paraId="0280865D" w14:textId="77777777" w:rsidR="004A53A9" w:rsidRDefault="004A53A9" w:rsidP="00766DCB">
      <w:pPr>
        <w:pStyle w:val="Standard"/>
        <w:tabs>
          <w:tab w:val="left" w:pos="3913"/>
        </w:tabs>
        <w:rPr>
          <w:rFonts w:ascii="Garamond" w:hAnsi="Garamond"/>
          <w:b/>
        </w:rPr>
      </w:pPr>
    </w:p>
    <w:p w14:paraId="35D95976" w14:textId="49467361" w:rsidR="00766DCB" w:rsidRPr="00885568" w:rsidRDefault="00766DCB" w:rsidP="00766DCB">
      <w:pPr>
        <w:pStyle w:val="Standard"/>
        <w:tabs>
          <w:tab w:val="left" w:pos="3913"/>
        </w:tabs>
        <w:rPr>
          <w:rFonts w:ascii="Garamond" w:hAnsi="Garamond" w:cs="Arial"/>
          <w:bCs/>
          <w:lang w:eastAsia="es-CO"/>
        </w:rPr>
      </w:pPr>
      <w:r w:rsidRPr="00885568">
        <w:rPr>
          <w:rFonts w:ascii="Garamond" w:hAnsi="Garamond"/>
          <w:b/>
        </w:rPr>
        <w:t>Elaboró:</w:t>
      </w:r>
      <w:r w:rsidRPr="00885568">
        <w:rPr>
          <w:rFonts w:ascii="Garamond" w:hAnsi="Garamond"/>
        </w:rPr>
        <w:t xml:space="preserve"> </w:t>
      </w:r>
      <w:r w:rsidRPr="00885568">
        <w:rPr>
          <w:rFonts w:ascii="Garamond" w:hAnsi="Garamond" w:cs="Arial"/>
          <w:lang w:eastAsia="es-CO"/>
        </w:rPr>
        <w:t>María F</w:t>
      </w:r>
      <w:r w:rsidR="0081155B" w:rsidRPr="00885568">
        <w:rPr>
          <w:rFonts w:ascii="Garamond" w:hAnsi="Garamond" w:cs="Arial"/>
          <w:lang w:eastAsia="es-CO"/>
        </w:rPr>
        <w:t xml:space="preserve">ernanda Corrales </w:t>
      </w:r>
      <w:r w:rsidR="00972747">
        <w:rPr>
          <w:rFonts w:ascii="Garamond" w:hAnsi="Garamond" w:cs="Arial"/>
          <w:lang w:eastAsia="es-CO"/>
        </w:rPr>
        <w:t xml:space="preserve">– Contratista planeación </w:t>
      </w:r>
    </w:p>
    <w:p w14:paraId="6E49CF05" w14:textId="59CE3C0C" w:rsidR="00766DCB" w:rsidRPr="00885568" w:rsidRDefault="00766DCB" w:rsidP="00766DCB">
      <w:pPr>
        <w:pStyle w:val="Standard"/>
        <w:tabs>
          <w:tab w:val="left" w:pos="3913"/>
        </w:tabs>
        <w:rPr>
          <w:rFonts w:ascii="Garamond" w:hAnsi="Garamond"/>
        </w:rPr>
      </w:pPr>
      <w:r w:rsidRPr="00885568">
        <w:rPr>
          <w:rFonts w:ascii="Garamond" w:hAnsi="Garamond"/>
          <w:b/>
        </w:rPr>
        <w:t>Revisó aspectos técnicos:</w:t>
      </w:r>
      <w:r w:rsidR="00560407">
        <w:rPr>
          <w:rFonts w:ascii="Garamond" w:hAnsi="Garamond"/>
        </w:rPr>
        <w:t xml:space="preserve"> Julian Andres Escobar</w:t>
      </w:r>
    </w:p>
    <w:p w14:paraId="5F85B261" w14:textId="569A7562" w:rsidR="00DF789A" w:rsidRPr="004A53A9" w:rsidRDefault="00DF789A" w:rsidP="00766DCB">
      <w:pPr>
        <w:rPr>
          <w:rFonts w:ascii="Garamond" w:hAnsi="Garamond"/>
        </w:rPr>
      </w:pPr>
      <w:r w:rsidRPr="00885568">
        <w:rPr>
          <w:rFonts w:ascii="Garamond" w:hAnsi="Garamond"/>
          <w:b/>
        </w:rPr>
        <w:t>Reviso Aspectos jurídicos:</w:t>
      </w:r>
      <w:r w:rsidRPr="00DF789A">
        <w:rPr>
          <w:rFonts w:ascii="Garamond" w:hAnsi="Garamond"/>
        </w:rPr>
        <w:t xml:space="preserve"> </w:t>
      </w:r>
      <w:r w:rsidR="00B32E81">
        <w:rPr>
          <w:rFonts w:ascii="Garamond" w:hAnsi="Garamond"/>
        </w:rPr>
        <w:t>María Angélica Naranjo</w:t>
      </w:r>
      <w:r w:rsidR="0094061E">
        <w:rPr>
          <w:rFonts w:ascii="Garamond" w:hAnsi="Garamond"/>
        </w:rPr>
        <w:t xml:space="preserve"> </w:t>
      </w:r>
    </w:p>
    <w:sectPr w:rsidR="00DF789A" w:rsidRPr="004A53A9" w:rsidSect="00002385">
      <w:headerReference w:type="default" r:id="rId20"/>
      <w:footerReference w:type="even" r:id="rId21"/>
      <w:footerReference w:type="default" r:id="rId22"/>
      <w:pgSz w:w="12242" w:h="15842" w:code="1"/>
      <w:pgMar w:top="1841" w:right="1418" w:bottom="2410" w:left="1418" w:header="737" w:footer="1299"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uz Porras" w:date="2025-02-27T12:26:00Z" w:initials="LP">
    <w:p w14:paraId="68CDD8D2" w14:textId="77777777" w:rsidR="00863D43" w:rsidRDefault="00863D43" w:rsidP="00863D43">
      <w:r>
        <w:rPr>
          <w:rStyle w:val="Refdecomentario"/>
        </w:rPr>
        <w:annotationRef/>
      </w:r>
      <w:r>
        <w:rPr>
          <w:color w:val="000000"/>
        </w:rPr>
        <w:t>Falta incluir lo establecido en nuestro plan de desarrollo local. Cuáles son nuestras metas?</w:t>
      </w:r>
    </w:p>
  </w:comment>
  <w:comment w:id="1" w:author="Luz Porras" w:date="2025-02-27T12:28:00Z" w:initials="LP">
    <w:p w14:paraId="6EFD1109" w14:textId="77777777" w:rsidR="00863D43" w:rsidRDefault="00863D43" w:rsidP="00863D43">
      <w:r>
        <w:rPr>
          <w:rStyle w:val="Refdecomentario"/>
        </w:rPr>
        <w:annotationRef/>
      </w:r>
      <w:r>
        <w:rPr>
          <w:color w:val="000000"/>
        </w:rPr>
        <w:t xml:space="preserve">Se beneficiaron todos los mencionados? </w:t>
      </w:r>
    </w:p>
  </w:comment>
  <w:comment w:id="2" w:author="Luz Porras" w:date="2025-02-27T12:30:00Z" w:initials="LP">
    <w:p w14:paraId="7534E4A4" w14:textId="77777777" w:rsidR="00863D43" w:rsidRDefault="00863D43" w:rsidP="00863D43">
      <w:r>
        <w:rPr>
          <w:rStyle w:val="Refdecomentario"/>
        </w:rPr>
        <w:annotationRef/>
      </w:r>
      <w:r>
        <w:rPr>
          <w:color w:val="000000"/>
        </w:rPr>
        <w:t>Colocar resumen de los resultados del cuatrienio.</w:t>
      </w:r>
    </w:p>
  </w:comment>
  <w:comment w:id="3" w:author="Luz Porras" w:date="2025-02-27T12:32:00Z" w:initials="LP">
    <w:p w14:paraId="34B0E154" w14:textId="77777777" w:rsidR="00863D43" w:rsidRDefault="00863D43" w:rsidP="00863D43">
      <w:r>
        <w:rPr>
          <w:rStyle w:val="Refdecomentario"/>
        </w:rPr>
        <w:annotationRef/>
      </w:r>
      <w:r>
        <w:rPr>
          <w:color w:val="000000"/>
        </w:rPr>
        <w:t xml:space="preserve">Acá por favor agregar la experiencia que se describe arriba de manera resumida. </w:t>
      </w:r>
    </w:p>
    <w:p w14:paraId="00C11D53" w14:textId="77777777" w:rsidR="00863D43" w:rsidRDefault="00863D43" w:rsidP="00863D43"/>
    <w:p w14:paraId="7FDFD941" w14:textId="77777777" w:rsidR="00863D43" w:rsidRDefault="00863D43" w:rsidP="00863D43">
      <w:r>
        <w:rPr>
          <w:color w:val="000000"/>
        </w:rPr>
        <w:t>Poner que ha realizado convenios con el fondo, las personas beneficiadas, etc.</w:t>
      </w:r>
    </w:p>
  </w:comment>
  <w:comment w:id="4" w:author="Luz Porras" w:date="2025-02-27T12:33:00Z" w:initials="LP">
    <w:p w14:paraId="2998367D" w14:textId="77777777" w:rsidR="00863D43" w:rsidRDefault="00863D43" w:rsidP="00863D43">
      <w:r>
        <w:rPr>
          <w:rStyle w:val="Refdecomentario"/>
        </w:rPr>
        <w:annotationRef/>
      </w:r>
      <w:r>
        <w:rPr>
          <w:color w:val="000000"/>
        </w:rPr>
        <w:t>Mártires</w:t>
      </w:r>
    </w:p>
  </w:comment>
  <w:comment w:id="5" w:author="Luz Porras" w:date="2025-02-27T12:33:00Z" w:initials="LP">
    <w:p w14:paraId="530E3DF1" w14:textId="77777777" w:rsidR="00863D43" w:rsidRDefault="00863D43" w:rsidP="00863D43">
      <w:r>
        <w:rPr>
          <w:rStyle w:val="Refdecomentario"/>
        </w:rPr>
        <w:annotationRef/>
      </w:r>
      <w:r>
        <w:rPr>
          <w:color w:val="000000"/>
        </w:rPr>
        <w:t>Colocar especifico el nombre de nuestro plan de desarrollo</w:t>
      </w:r>
    </w:p>
  </w:comment>
  <w:comment w:id="6" w:author="Luz Porras" w:date="2025-02-27T12:35:00Z" w:initials="LP">
    <w:p w14:paraId="51779558" w14:textId="77777777" w:rsidR="00863D43" w:rsidRDefault="00863D43" w:rsidP="00863D43">
      <w:r>
        <w:rPr>
          <w:rStyle w:val="Refdecomentario"/>
        </w:rPr>
        <w:annotationRef/>
      </w:r>
      <w:r>
        <w:rPr>
          <w:color w:val="000000"/>
        </w:rPr>
        <w:t>El objeto del PAA: Aunar esfuerzos técnicos, administrativos, jurídicos y financieros entre agencia para educación superior ATENEA y el Fondo de Desarrollo Local de los Mártires, para la implementación del programa de acceso  y  permanencia  de  las  y  los  jóvenes egresados  de instituciones de educación media a programas de educación superior.</w:t>
      </w:r>
    </w:p>
    <w:p w14:paraId="73A9451B" w14:textId="77777777" w:rsidR="00863D43" w:rsidRDefault="00863D43" w:rsidP="00863D43"/>
    <w:p w14:paraId="0DC3CEA5" w14:textId="77777777" w:rsidR="00863D43" w:rsidRDefault="00863D43" w:rsidP="00863D43">
      <w:r>
        <w:rPr>
          <w:color w:val="000000"/>
        </w:rPr>
        <w:t>Revisar si se modifica en el EP o lo modificamos en el PAA</w:t>
      </w:r>
    </w:p>
  </w:comment>
  <w:comment w:id="7" w:author="Luz Porras" w:date="2025-02-27T13:35:00Z" w:initials="LP">
    <w:p w14:paraId="1A4DE5E4" w14:textId="77777777" w:rsidR="00EE0DE7" w:rsidRDefault="00EE0DE7" w:rsidP="00EE0DE7">
      <w:r>
        <w:rPr>
          <w:rStyle w:val="Refdecomentario"/>
        </w:rPr>
        <w:annotationRef/>
      </w:r>
      <w:r>
        <w:t xml:space="preserve">Yo tengo otros recursos en el excel de seguimiento. </w:t>
      </w:r>
      <w:r>
        <w:cr/>
      </w:r>
      <w:r>
        <w:cr/>
        <w:t>$3.629.867.000</w:t>
      </w:r>
      <w:r>
        <w:cr/>
        <w:t>Acceso: $3.417.133.000</w:t>
      </w:r>
      <w:r>
        <w:cr/>
        <w:t>Permanencia: $212.554.000</w:t>
      </w:r>
      <w:r>
        <w:cr/>
      </w:r>
      <w:r>
        <w:cr/>
        <w:t>Revisemos valores porfa</w:t>
      </w:r>
    </w:p>
  </w:comment>
  <w:comment w:id="14" w:author="Luz Porras" w:date="2025-02-27T13:40:00Z" w:initials="LP">
    <w:p w14:paraId="62BD737E" w14:textId="77777777" w:rsidR="00EE0DE7" w:rsidRDefault="00EE0DE7" w:rsidP="00EE0DE7">
      <w:r>
        <w:rPr>
          <w:rStyle w:val="Refdecomentario"/>
        </w:rPr>
        <w:annotationRef/>
      </w:r>
      <w:r>
        <w:rPr>
          <w:color w:val="000000"/>
        </w:rPr>
        <w:t>Revisar valores</w:t>
      </w:r>
    </w:p>
  </w:comment>
  <w:comment w:id="16" w:author="Luz Porras" w:date="2025-02-27T13:44:00Z" w:initials="LP">
    <w:p w14:paraId="27AE6A2C" w14:textId="77777777" w:rsidR="00EE0DE7" w:rsidRDefault="00EE0DE7" w:rsidP="00EE0DE7">
      <w:r>
        <w:rPr>
          <w:rStyle w:val="Refdecomentario"/>
        </w:rPr>
        <w:annotationRef/>
      </w:r>
      <w:r>
        <w:rPr>
          <w:color w:val="000000"/>
        </w:rPr>
        <w:t>Recursos técnicos, humanos y/o tecnológicos</w:t>
      </w:r>
    </w:p>
  </w:comment>
  <w:comment w:id="17" w:author="Luz Porras" w:date="2025-02-27T13:50:00Z" w:initials="LP">
    <w:p w14:paraId="790AAD7E" w14:textId="77777777" w:rsidR="001F2006" w:rsidRDefault="001F2006" w:rsidP="001F2006">
      <w:r>
        <w:rPr>
          <w:rStyle w:val="Refdecomentario"/>
        </w:rPr>
        <w:annotationRef/>
      </w:r>
      <w:r>
        <w:rPr>
          <w:color w:val="000000"/>
        </w:rPr>
        <w:t>Que son estos espacios?</w:t>
      </w:r>
    </w:p>
  </w:comment>
  <w:comment w:id="18" w:author="Luz Porras" w:date="2025-02-27T13:47:00Z" w:initials="LP">
    <w:p w14:paraId="5D8E09D7" w14:textId="0159E489" w:rsidR="001F2006" w:rsidRDefault="001F2006" w:rsidP="001F2006">
      <w:r>
        <w:rPr>
          <w:rStyle w:val="Refdecomentario"/>
        </w:rPr>
        <w:annotationRef/>
      </w:r>
      <w:r>
        <w:rPr>
          <w:color w:val="000000"/>
        </w:rPr>
        <w:t>Cambiar por “apoyar”</w:t>
      </w:r>
    </w:p>
  </w:comment>
  <w:comment w:id="19" w:author="Luz Porras" w:date="2025-02-27T13:46:00Z" w:initials="LP">
    <w:p w14:paraId="743CFE76" w14:textId="29C5B06A" w:rsidR="001F2006" w:rsidRDefault="001F2006" w:rsidP="001F2006">
      <w:r>
        <w:rPr>
          <w:rStyle w:val="Refdecomentario"/>
        </w:rPr>
        <w:annotationRef/>
      </w:r>
      <w:r>
        <w:rPr>
          <w:color w:val="000000"/>
        </w:rPr>
        <w:t>Estas acciones de bienestar están incluidas dentro del valor del convenio o es un recurso adicional que debemos garantizar? De que tratan estas actividades?</w:t>
      </w:r>
    </w:p>
  </w:comment>
  <w:comment w:id="20" w:author="Luz Porras" w:date="2025-02-27T13:48:00Z" w:initials="LP">
    <w:p w14:paraId="200DA9F4" w14:textId="77777777" w:rsidR="001F2006" w:rsidRDefault="001F2006" w:rsidP="001F2006">
      <w:r>
        <w:rPr>
          <w:rStyle w:val="Refdecomentario"/>
        </w:rPr>
        <w:annotationRef/>
      </w:r>
      <w:r>
        <w:rPr>
          <w:color w:val="000000"/>
        </w:rPr>
        <w:t>Nos podemos comprometer con esto? Revisar.</w:t>
      </w:r>
    </w:p>
  </w:comment>
  <w:comment w:id="21" w:author="Luz Porras" w:date="2025-02-27T13:53:00Z" w:initials="LP">
    <w:p w14:paraId="70A11E4E" w14:textId="77777777" w:rsidR="001F2006" w:rsidRDefault="001F2006" w:rsidP="001F2006">
      <w:r>
        <w:rPr>
          <w:rStyle w:val="Refdecomentario"/>
        </w:rPr>
        <w:annotationRef/>
      </w:r>
      <w:r>
        <w:rPr>
          <w:color w:val="000000"/>
        </w:rPr>
        <w:t xml:space="preserve">Es decir, que nosotros también haremos seguimiento personalizado y activaremos rutas de atención? </w:t>
      </w:r>
    </w:p>
  </w:comment>
  <w:comment w:id="22" w:author="Luz Porras" w:date="2025-02-27T13:55:00Z" w:initials="LP">
    <w:p w14:paraId="16D53ABF" w14:textId="77777777" w:rsidR="001F2006" w:rsidRDefault="001F2006" w:rsidP="001F2006">
      <w:r>
        <w:rPr>
          <w:rStyle w:val="Refdecomentario"/>
        </w:rPr>
        <w:annotationRef/>
      </w:r>
      <w:r>
        <w:rPr>
          <w:color w:val="000000"/>
        </w:rPr>
        <w:t xml:space="preserve">Quien se encarga de la secretaría? Alcaldía o Atenea? </w:t>
      </w:r>
    </w:p>
  </w:comment>
  <w:comment w:id="23" w:author="Luz Porras" w:date="2025-02-27T13:55:00Z" w:initials="LP">
    <w:p w14:paraId="182D6CE7" w14:textId="77777777" w:rsidR="001F2006" w:rsidRDefault="001F2006" w:rsidP="001F2006">
      <w:r>
        <w:rPr>
          <w:rStyle w:val="Refdecomentario"/>
        </w:rPr>
        <w:annotationRef/>
      </w:r>
      <w:r>
        <w:rPr>
          <w:color w:val="000000"/>
        </w:rPr>
        <w:t>Quien cita?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CDD8D2" w15:done="0"/>
  <w15:commentEx w15:paraId="6EFD1109" w15:done="0"/>
  <w15:commentEx w15:paraId="7534E4A4" w15:done="0"/>
  <w15:commentEx w15:paraId="7FDFD941" w15:done="0"/>
  <w15:commentEx w15:paraId="2998367D" w15:done="0"/>
  <w15:commentEx w15:paraId="530E3DF1" w15:done="0"/>
  <w15:commentEx w15:paraId="0DC3CEA5" w15:done="0"/>
  <w15:commentEx w15:paraId="1A4DE5E4" w15:done="0"/>
  <w15:commentEx w15:paraId="62BD737E" w15:done="0"/>
  <w15:commentEx w15:paraId="27AE6A2C" w15:done="0"/>
  <w15:commentEx w15:paraId="790AAD7E" w15:done="0"/>
  <w15:commentEx w15:paraId="5D8E09D7" w15:done="0"/>
  <w15:commentEx w15:paraId="743CFE76" w15:done="0"/>
  <w15:commentEx w15:paraId="200DA9F4" w15:done="0"/>
  <w15:commentEx w15:paraId="70A11E4E" w15:done="0"/>
  <w15:commentEx w15:paraId="16D53ABF" w15:done="0"/>
  <w15:commentEx w15:paraId="182D6CE7" w15:paraIdParent="16D53A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0C3BE0" w16cex:dateUtc="2025-02-27T17:26:00Z"/>
  <w16cex:commentExtensible w16cex:durableId="3CA3FF5B" w16cex:dateUtc="2025-02-27T17:28:00Z"/>
  <w16cex:commentExtensible w16cex:durableId="53D98888" w16cex:dateUtc="2025-02-27T17:30:00Z"/>
  <w16cex:commentExtensible w16cex:durableId="520F38B4" w16cex:dateUtc="2025-02-27T17:32:00Z"/>
  <w16cex:commentExtensible w16cex:durableId="32D8FCDD" w16cex:dateUtc="2025-02-27T17:33:00Z"/>
  <w16cex:commentExtensible w16cex:durableId="05710676" w16cex:dateUtc="2025-02-27T17:33:00Z"/>
  <w16cex:commentExtensible w16cex:durableId="707F28B2" w16cex:dateUtc="2025-02-27T17:35:00Z"/>
  <w16cex:commentExtensible w16cex:durableId="78C02D70" w16cex:dateUtc="2025-02-27T18:35:00Z"/>
  <w16cex:commentExtensible w16cex:durableId="75E16884" w16cex:dateUtc="2025-02-27T18:40:00Z"/>
  <w16cex:commentExtensible w16cex:durableId="55CAD494" w16cex:dateUtc="2025-02-27T18:44:00Z"/>
  <w16cex:commentExtensible w16cex:durableId="182C7F1E" w16cex:dateUtc="2025-02-27T18:50:00Z"/>
  <w16cex:commentExtensible w16cex:durableId="0A701144" w16cex:dateUtc="2025-02-27T18:47:00Z"/>
  <w16cex:commentExtensible w16cex:durableId="26730FD2" w16cex:dateUtc="2025-02-27T18:46:00Z"/>
  <w16cex:commentExtensible w16cex:durableId="25C4C7B4" w16cex:dateUtc="2025-02-27T18:48:00Z"/>
  <w16cex:commentExtensible w16cex:durableId="4C5C290A" w16cex:dateUtc="2025-02-27T18:53:00Z"/>
  <w16cex:commentExtensible w16cex:durableId="2EAF91C1" w16cex:dateUtc="2025-02-27T18:55:00Z"/>
  <w16cex:commentExtensible w16cex:durableId="5C752144" w16cex:dateUtc="2025-02-27T1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CDD8D2" w16cid:durableId="460C3BE0"/>
  <w16cid:commentId w16cid:paraId="6EFD1109" w16cid:durableId="3CA3FF5B"/>
  <w16cid:commentId w16cid:paraId="7534E4A4" w16cid:durableId="53D98888"/>
  <w16cid:commentId w16cid:paraId="7FDFD941" w16cid:durableId="520F38B4"/>
  <w16cid:commentId w16cid:paraId="2998367D" w16cid:durableId="32D8FCDD"/>
  <w16cid:commentId w16cid:paraId="530E3DF1" w16cid:durableId="05710676"/>
  <w16cid:commentId w16cid:paraId="0DC3CEA5" w16cid:durableId="707F28B2"/>
  <w16cid:commentId w16cid:paraId="1A4DE5E4" w16cid:durableId="78C02D70"/>
  <w16cid:commentId w16cid:paraId="62BD737E" w16cid:durableId="75E16884"/>
  <w16cid:commentId w16cid:paraId="27AE6A2C" w16cid:durableId="55CAD494"/>
  <w16cid:commentId w16cid:paraId="790AAD7E" w16cid:durableId="182C7F1E"/>
  <w16cid:commentId w16cid:paraId="5D8E09D7" w16cid:durableId="0A701144"/>
  <w16cid:commentId w16cid:paraId="743CFE76" w16cid:durableId="26730FD2"/>
  <w16cid:commentId w16cid:paraId="200DA9F4" w16cid:durableId="25C4C7B4"/>
  <w16cid:commentId w16cid:paraId="70A11E4E" w16cid:durableId="4C5C290A"/>
  <w16cid:commentId w16cid:paraId="16D53ABF" w16cid:durableId="2EAF91C1"/>
  <w16cid:commentId w16cid:paraId="182D6CE7" w16cid:durableId="5C7521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5B557" w14:textId="77777777" w:rsidR="00B54A0F" w:rsidRDefault="00B54A0F">
      <w:r>
        <w:separator/>
      </w:r>
    </w:p>
  </w:endnote>
  <w:endnote w:type="continuationSeparator" w:id="0">
    <w:p w14:paraId="72E59E42" w14:textId="77777777" w:rsidR="00B54A0F" w:rsidRDefault="00B5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Lexend Deca">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8581" w14:textId="77777777" w:rsidR="001915BB" w:rsidRDefault="001915BB" w:rsidP="00C65C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E557750" w14:textId="77777777" w:rsidR="001915BB" w:rsidRDefault="001915BB" w:rsidP="00C65CE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B6172" w14:textId="685466F5" w:rsidR="001915BB" w:rsidRDefault="001915BB" w:rsidP="00002385">
    <w:pPr>
      <w:jc w:val="right"/>
      <w:rPr>
        <w:rStyle w:val="Nmerodepgina"/>
        <w:rFonts w:ascii="Garamond" w:hAnsi="Garamond" w:cs="Arial"/>
        <w:sz w:val="16"/>
        <w:szCs w:val="16"/>
      </w:rPr>
    </w:pP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sidR="004A53A9">
      <w:rPr>
        <w:rStyle w:val="Nmerodepgina"/>
        <w:rFonts w:ascii="Garamond" w:hAnsi="Garamond" w:cs="Arial"/>
        <w:noProof/>
        <w:sz w:val="16"/>
        <w:szCs w:val="16"/>
      </w:rPr>
      <w:t>63</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sidR="004A53A9">
      <w:rPr>
        <w:rStyle w:val="Nmerodepgina"/>
        <w:rFonts w:ascii="Garamond" w:hAnsi="Garamond" w:cs="Arial"/>
        <w:noProof/>
        <w:sz w:val="16"/>
        <w:szCs w:val="16"/>
      </w:rPr>
      <w:t>64</w:t>
    </w:r>
    <w:r>
      <w:rPr>
        <w:rStyle w:val="Nmerodepgina"/>
        <w:rFonts w:ascii="Garamond" w:hAnsi="Garamond" w:cs="Arial"/>
        <w:sz w:val="16"/>
        <w:szCs w:val="16"/>
      </w:rPr>
      <w:fldChar w:fldCharType="end"/>
    </w:r>
  </w:p>
  <w:p w14:paraId="79964367" w14:textId="49FBDD44" w:rsidR="001915BB" w:rsidRDefault="001915BB" w:rsidP="00002385">
    <w:pPr>
      <w:jc w:val="right"/>
      <w:rPr>
        <w:rStyle w:val="Nmerodepgina"/>
        <w:rFonts w:ascii="Garamond" w:hAnsi="Garamond" w:cs="Arial"/>
        <w:sz w:val="16"/>
        <w:szCs w:val="16"/>
      </w:rPr>
    </w:pPr>
  </w:p>
  <w:p w14:paraId="14A4C354" w14:textId="534E2DEC" w:rsidR="001915BB" w:rsidRDefault="001915BB" w:rsidP="00002385">
    <w:pPr>
      <w:jc w:val="right"/>
      <w:rPr>
        <w:rStyle w:val="Nmerodepgina"/>
        <w:rFonts w:ascii="Garamond" w:hAnsi="Garamond" w:cs="Arial"/>
        <w:sz w:val="16"/>
        <w:szCs w:val="16"/>
      </w:rPr>
    </w:pPr>
    <w:r>
      <w:rPr>
        <w:noProof/>
        <w:lang w:val="es-ES"/>
      </w:rPr>
      <mc:AlternateContent>
        <mc:Choice Requires="wps">
          <w:drawing>
            <wp:anchor distT="0" distB="0" distL="114300" distR="114300" simplePos="0" relativeHeight="251657728" behindDoc="0" locked="0" layoutInCell="1" allowOverlap="1" wp14:anchorId="26F5A46F" wp14:editId="6AF954FB">
              <wp:simplePos x="0" y="0"/>
              <wp:positionH relativeFrom="column">
                <wp:posOffset>2176725</wp:posOffset>
              </wp:positionH>
              <wp:positionV relativeFrom="paragraph">
                <wp:posOffset>29403</wp:posOffset>
              </wp:positionV>
              <wp:extent cx="2027582" cy="743640"/>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27582" cy="743640"/>
                      </a:xfrm>
                      <a:prstGeom prst="rect">
                        <a:avLst/>
                      </a:prstGeom>
                      <a:solidFill>
                        <a:srgbClr val="FFFFFF"/>
                      </a:solidFill>
                      <a:ln>
                        <a:noFill/>
                      </a:ln>
                    </wps:spPr>
                    <wps:txbx>
                      <w:txbxContent>
                        <w:p w14:paraId="1E2ADAFA" w14:textId="77777777" w:rsidR="001915BB" w:rsidRPr="00537B2A" w:rsidRDefault="001915BB" w:rsidP="00FB2D82">
                          <w:pPr>
                            <w:rPr>
                              <w:rFonts w:ascii="Arial" w:hAnsi="Arial" w:cs="Arial"/>
                              <w:sz w:val="16"/>
                              <w:szCs w:val="16"/>
                              <w:lang w:val="es-MX"/>
                            </w:rPr>
                          </w:pPr>
                        </w:p>
                        <w:p w14:paraId="6D1F7877" w14:textId="77777777" w:rsidR="001915BB" w:rsidRPr="00F8309C" w:rsidRDefault="001915BB" w:rsidP="00FB2D82">
                          <w:pPr>
                            <w:jc w:val="center"/>
                            <w:rPr>
                              <w:rFonts w:ascii="Garamond" w:hAnsi="Garamond" w:cs="Arial"/>
                              <w:sz w:val="18"/>
                              <w:szCs w:val="18"/>
                              <w:lang w:val="es-MX"/>
                            </w:rPr>
                          </w:pPr>
                          <w:r w:rsidRPr="00F8309C">
                            <w:rPr>
                              <w:rFonts w:ascii="Garamond" w:hAnsi="Garamond" w:cs="Arial"/>
                              <w:sz w:val="18"/>
                              <w:szCs w:val="18"/>
                              <w:lang w:val="es-MX"/>
                            </w:rPr>
                            <w:t>Código: GCO-GCI-F024</w:t>
                          </w:r>
                        </w:p>
                        <w:p w14:paraId="6B5D70A7" w14:textId="245E5AF6" w:rsidR="001915BB" w:rsidRPr="00F8309C" w:rsidRDefault="001915BB" w:rsidP="00FB2D82">
                          <w:pPr>
                            <w:jc w:val="center"/>
                            <w:rPr>
                              <w:rFonts w:ascii="Garamond" w:hAnsi="Garamond" w:cs="Arial"/>
                              <w:sz w:val="18"/>
                              <w:szCs w:val="18"/>
                              <w:lang w:val="es-MX"/>
                            </w:rPr>
                          </w:pPr>
                          <w:r w:rsidRPr="00F8309C">
                            <w:rPr>
                              <w:rFonts w:ascii="Garamond" w:hAnsi="Garamond" w:cs="Arial"/>
                              <w:sz w:val="18"/>
                              <w:szCs w:val="18"/>
                              <w:lang w:val="es-MX"/>
                            </w:rPr>
                            <w:t xml:space="preserve">Versión: </w:t>
                          </w:r>
                          <w:r>
                            <w:rPr>
                              <w:rFonts w:ascii="Garamond" w:hAnsi="Garamond" w:cs="Arial"/>
                              <w:sz w:val="18"/>
                              <w:szCs w:val="18"/>
                              <w:lang w:val="es-MX"/>
                            </w:rPr>
                            <w:t>05</w:t>
                          </w:r>
                        </w:p>
                        <w:p w14:paraId="7AB7A795" w14:textId="3B15A2D5" w:rsidR="001915BB" w:rsidRPr="00171336" w:rsidRDefault="001915BB" w:rsidP="00FB2D82">
                          <w:pPr>
                            <w:jc w:val="center"/>
                            <w:rPr>
                              <w:rFonts w:ascii="Garamond" w:hAnsi="Garamond" w:cs="Arial"/>
                              <w:sz w:val="18"/>
                              <w:szCs w:val="18"/>
                              <w:lang w:val="es-MX"/>
                            </w:rPr>
                          </w:pPr>
                          <w:r w:rsidRPr="00171336">
                            <w:rPr>
                              <w:rFonts w:ascii="Garamond" w:hAnsi="Garamond" w:cs="Arial"/>
                              <w:sz w:val="18"/>
                              <w:szCs w:val="18"/>
                              <w:lang w:val="es-MX"/>
                            </w:rPr>
                            <w:t>Vigencia: 14 de septiembre de 2023</w:t>
                          </w:r>
                        </w:p>
                        <w:p w14:paraId="72A4F523" w14:textId="1D920255" w:rsidR="001915BB" w:rsidRPr="00F8309C" w:rsidRDefault="001915BB" w:rsidP="00FB2D82">
                          <w:pPr>
                            <w:jc w:val="center"/>
                            <w:rPr>
                              <w:rFonts w:ascii="Garamond" w:hAnsi="Garamond" w:cs="Arial"/>
                              <w:sz w:val="18"/>
                              <w:szCs w:val="18"/>
                              <w:lang w:val="es-MX"/>
                            </w:rPr>
                          </w:pPr>
                          <w:r w:rsidRPr="00171336">
                            <w:rPr>
                              <w:rFonts w:ascii="Garamond" w:hAnsi="Garamond" w:cs="Arial"/>
                              <w:sz w:val="18"/>
                              <w:szCs w:val="18"/>
                              <w:lang w:val="es-MX"/>
                            </w:rPr>
                            <w:t>Caso Hola No. 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5A46F" id="Rectángulo 7" o:spid="_x0000_s1026" style="position:absolute;left:0;text-align:left;margin-left:171.4pt;margin-top:2.3pt;width:159.65pt;height:5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" stroked="f">
              <v:textbox inset="2.5575mm,1.2875mm,2.5575mm,1.2875mm">
                <w:txbxContent>
                  <w:p w14:paraId="1E2ADAFA" w14:textId="77777777" w:rsidR="001915BB" w:rsidRPr="00537B2A" w:rsidRDefault="001915BB" w:rsidP="00FB2D82">
                    <w:pPr>
                      <w:rPr>
                        <w:rFonts w:ascii="Arial" w:hAnsi="Arial" w:cs="Arial"/>
                        <w:sz w:val="16"/>
                        <w:szCs w:val="16"/>
                        <w:lang w:val="es-MX"/>
                      </w:rPr>
                    </w:pPr>
                  </w:p>
                  <w:p w14:paraId="6D1F7877" w14:textId="77777777" w:rsidR="001915BB" w:rsidRPr="00F8309C" w:rsidRDefault="001915BB" w:rsidP="00FB2D82">
                    <w:pPr>
                      <w:jc w:val="center"/>
                      <w:rPr>
                        <w:rFonts w:ascii="Garamond" w:hAnsi="Garamond" w:cs="Arial"/>
                        <w:sz w:val="18"/>
                        <w:szCs w:val="18"/>
                        <w:lang w:val="es-MX"/>
                      </w:rPr>
                    </w:pPr>
                    <w:r w:rsidRPr="00F8309C">
                      <w:rPr>
                        <w:rFonts w:ascii="Garamond" w:hAnsi="Garamond" w:cs="Arial"/>
                        <w:sz w:val="18"/>
                        <w:szCs w:val="18"/>
                        <w:lang w:val="es-MX"/>
                      </w:rPr>
                      <w:t>Código: GCO-GCI-F024</w:t>
                    </w:r>
                  </w:p>
                  <w:p w14:paraId="6B5D70A7" w14:textId="245E5AF6" w:rsidR="001915BB" w:rsidRPr="00F8309C" w:rsidRDefault="001915BB" w:rsidP="00FB2D82">
                    <w:pPr>
                      <w:jc w:val="center"/>
                      <w:rPr>
                        <w:rFonts w:ascii="Garamond" w:hAnsi="Garamond" w:cs="Arial"/>
                        <w:sz w:val="18"/>
                        <w:szCs w:val="18"/>
                        <w:lang w:val="es-MX"/>
                      </w:rPr>
                    </w:pPr>
                    <w:r w:rsidRPr="00F8309C">
                      <w:rPr>
                        <w:rFonts w:ascii="Garamond" w:hAnsi="Garamond" w:cs="Arial"/>
                        <w:sz w:val="18"/>
                        <w:szCs w:val="18"/>
                        <w:lang w:val="es-MX"/>
                      </w:rPr>
                      <w:t xml:space="preserve">Versión: </w:t>
                    </w:r>
                    <w:r>
                      <w:rPr>
                        <w:rFonts w:ascii="Garamond" w:hAnsi="Garamond" w:cs="Arial"/>
                        <w:sz w:val="18"/>
                        <w:szCs w:val="18"/>
                        <w:lang w:val="es-MX"/>
                      </w:rPr>
                      <w:t>05</w:t>
                    </w:r>
                  </w:p>
                  <w:p w14:paraId="7AB7A795" w14:textId="3B15A2D5" w:rsidR="001915BB" w:rsidRPr="00171336" w:rsidRDefault="001915BB" w:rsidP="00FB2D82">
                    <w:pPr>
                      <w:jc w:val="center"/>
                      <w:rPr>
                        <w:rFonts w:ascii="Garamond" w:hAnsi="Garamond" w:cs="Arial"/>
                        <w:sz w:val="18"/>
                        <w:szCs w:val="18"/>
                        <w:lang w:val="es-MX"/>
                      </w:rPr>
                    </w:pPr>
                    <w:r w:rsidRPr="00171336">
                      <w:rPr>
                        <w:rFonts w:ascii="Garamond" w:hAnsi="Garamond" w:cs="Arial"/>
                        <w:sz w:val="18"/>
                        <w:szCs w:val="18"/>
                        <w:lang w:val="es-MX"/>
                      </w:rPr>
                      <w:t>Vigencia: 14 de septiembre de 2023</w:t>
                    </w:r>
                  </w:p>
                  <w:p w14:paraId="72A4F523" w14:textId="1D920255" w:rsidR="001915BB" w:rsidRPr="00F8309C" w:rsidRDefault="001915BB" w:rsidP="00FB2D82">
                    <w:pPr>
                      <w:jc w:val="center"/>
                      <w:rPr>
                        <w:rFonts w:ascii="Garamond" w:hAnsi="Garamond" w:cs="Arial"/>
                        <w:sz w:val="18"/>
                        <w:szCs w:val="18"/>
                        <w:lang w:val="es-MX"/>
                      </w:rPr>
                    </w:pPr>
                    <w:r w:rsidRPr="00171336">
                      <w:rPr>
                        <w:rFonts w:ascii="Garamond" w:hAnsi="Garamond" w:cs="Arial"/>
                        <w:sz w:val="18"/>
                        <w:szCs w:val="18"/>
                        <w:lang w:val="es-MX"/>
                      </w:rPr>
                      <w:t>Caso Hola No. 343604</w:t>
                    </w:r>
                  </w:p>
                </w:txbxContent>
              </v:textbox>
            </v:rect>
          </w:pict>
        </mc:Fallback>
      </mc:AlternateContent>
    </w:r>
    <w:r>
      <w:rPr>
        <w:noProof/>
        <w:lang w:val="es-ES"/>
      </w:rPr>
      <w:drawing>
        <wp:anchor distT="0" distB="0" distL="0" distR="0" simplePos="0" relativeHeight="251658752" behindDoc="0" locked="0" layoutInCell="1" allowOverlap="1" wp14:anchorId="3FA29123" wp14:editId="0905B17C">
          <wp:simplePos x="0" y="0"/>
          <wp:positionH relativeFrom="margin">
            <wp:posOffset>5354955</wp:posOffset>
          </wp:positionH>
          <wp:positionV relativeFrom="paragraph">
            <wp:posOffset>74930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p>
  <w:p w14:paraId="0FE61934" w14:textId="35D1E706" w:rsidR="001915BB" w:rsidRDefault="001915BB" w:rsidP="00002385">
    <w:pPr>
      <w:jc w:val="right"/>
      <w:rPr>
        <w:rStyle w:val="Nmerodepgina"/>
        <w:rFonts w:ascii="Garamond" w:hAnsi="Garamond" w:cs="Arial"/>
        <w:sz w:val="16"/>
        <w:szCs w:val="16"/>
      </w:rPr>
    </w:pPr>
  </w:p>
  <w:p w14:paraId="09618F66" w14:textId="31E3C346" w:rsidR="001915BB" w:rsidRPr="00FB2D82" w:rsidRDefault="001915BB" w:rsidP="00FB2D82">
    <w:r>
      <w:rPr>
        <w:noProof/>
        <w:lang w:val="es-ES"/>
      </w:rPr>
      <mc:AlternateContent>
        <mc:Choice Requires="wps">
          <w:drawing>
            <wp:anchor distT="0" distB="0" distL="114300" distR="114300" simplePos="0" relativeHeight="251656704" behindDoc="0" locked="0" layoutInCell="1" allowOverlap="1" wp14:anchorId="1C8D731E" wp14:editId="32A81DE4">
              <wp:simplePos x="0" y="0"/>
              <wp:positionH relativeFrom="column">
                <wp:posOffset>-24130</wp:posOffset>
              </wp:positionH>
              <wp:positionV relativeFrom="paragraph">
                <wp:posOffset>-201295</wp:posOffset>
              </wp:positionV>
              <wp:extent cx="1828800" cy="123825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38250"/>
                      </a:xfrm>
                      <a:prstGeom prst="rect">
                        <a:avLst/>
                      </a:prstGeom>
                      <a:solidFill>
                        <a:srgbClr val="FFFFFF"/>
                      </a:solidFill>
                      <a:ln>
                        <a:noFill/>
                      </a:ln>
                    </wps:spPr>
                    <wps:txbx>
                      <w:txbxContent>
                        <w:p w14:paraId="34D26211" w14:textId="77777777" w:rsidR="001915BB" w:rsidRDefault="001915BB" w:rsidP="00FB2D8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D731E" id="Rectángulo 6" o:spid="_x0000_s1027" style="position:absolute;margin-left:-1.9pt;margin-top:-15.85pt;width:2in;height:9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" stroked="f">
              <v:textbox inset="7.25pt,3.65pt,7.25pt,3.65pt">
                <w:txbxContent>
                  <w:p w14:paraId="34D26211" w14:textId="77777777" w:rsidR="001915BB" w:rsidRDefault="001915BB" w:rsidP="00FB2D82">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0680" w14:textId="77777777" w:rsidR="00B54A0F" w:rsidRDefault="00B54A0F">
      <w:r>
        <w:separator/>
      </w:r>
    </w:p>
  </w:footnote>
  <w:footnote w:type="continuationSeparator" w:id="0">
    <w:p w14:paraId="045C9FC0" w14:textId="77777777" w:rsidR="00B54A0F" w:rsidRDefault="00B54A0F">
      <w:r>
        <w:continuationSeparator/>
      </w:r>
    </w:p>
  </w:footnote>
  <w:footnote w:id="1">
    <w:p w14:paraId="2625EBC5" w14:textId="77777777" w:rsidR="001915BB" w:rsidRDefault="001915BB" w:rsidP="00433165">
      <w:pPr>
        <w:pStyle w:val="Textonotapie"/>
        <w:rPr>
          <w:i/>
          <w:iCs/>
          <w:color w:val="00B050"/>
          <w:sz w:val="14"/>
          <w:szCs w:val="14"/>
        </w:rPr>
      </w:pPr>
      <w:r>
        <w:rPr>
          <w:rStyle w:val="Refdenotaalpie"/>
          <w:sz w:val="14"/>
          <w:szCs w:val="14"/>
        </w:rPr>
        <w:footnoteRef/>
      </w:r>
      <w:r>
        <w:rPr>
          <w:sz w:val="14"/>
          <w:szCs w:val="14"/>
        </w:rPr>
        <w:t xml:space="preserve"> Ver documento Excel </w:t>
      </w:r>
      <w:r>
        <w:rPr>
          <w:i/>
          <w:iCs/>
          <w:sz w:val="14"/>
          <w:szCs w:val="14"/>
        </w:rPr>
        <w:t>Matriz de Riesgos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60D5" w14:textId="77777777" w:rsidR="001915BB" w:rsidRDefault="001915BB" w:rsidP="004A53A9">
    <w:pPr>
      <w:pStyle w:val="Standard"/>
      <w:rPr>
        <w:rFonts w:ascii="Garamond" w:hAnsi="Garamond" w:cs="Arial"/>
        <w:b/>
        <w:sz w:val="24"/>
        <w:szCs w:val="24"/>
      </w:rPr>
    </w:pPr>
  </w:p>
  <w:p w14:paraId="48CEB8C7" w14:textId="77777777" w:rsidR="001915BB" w:rsidRDefault="001915BB" w:rsidP="003A079B">
    <w:pPr>
      <w:pStyle w:val="Standard"/>
      <w:jc w:val="center"/>
      <w:rPr>
        <w:rFonts w:ascii="Garamond" w:hAnsi="Garamond" w:cs="Arial"/>
        <w:b/>
        <w:sz w:val="24"/>
        <w:szCs w:val="24"/>
      </w:rPr>
    </w:pPr>
    <w:r w:rsidRPr="00964DFF">
      <w:rPr>
        <w:noProof/>
        <w:lang w:val="es-ES" w:eastAsia="es-ES"/>
      </w:rPr>
      <w:drawing>
        <wp:anchor distT="0" distB="0" distL="114300" distR="114300" simplePos="0" relativeHeight="251714048" behindDoc="1" locked="0" layoutInCell="1" allowOverlap="1" wp14:anchorId="6F027AF9" wp14:editId="4D3486B6">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937C44" w14:textId="5F9415BA" w:rsidR="001915BB" w:rsidRDefault="001915BB" w:rsidP="00926937">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229884EA" w14:textId="04D4356D" w:rsidR="001915BB" w:rsidRDefault="001915BB" w:rsidP="00926937">
    <w:pPr>
      <w:jc w:val="center"/>
      <w:rPr>
        <w:rFonts w:ascii="Garamond" w:hAnsi="Garamond" w:cs="Arial"/>
        <w:b/>
        <w:color w:val="000000"/>
        <w:sz w:val="24"/>
        <w:szCs w:val="24"/>
      </w:rPr>
    </w:pPr>
    <w:r w:rsidRPr="00DC3046">
      <w:rPr>
        <w:rFonts w:ascii="Garamond" w:hAnsi="Garamond" w:cs="Arial"/>
        <w:b/>
        <w:sz w:val="24"/>
        <w:szCs w:val="24"/>
      </w:rPr>
      <w:t xml:space="preserve">CONTRATOS INTERADMINISTRATIVOS </w:t>
    </w:r>
    <w:r w:rsidRPr="00DC3046">
      <w:rPr>
        <w:rFonts w:ascii="Garamond" w:hAnsi="Garamond" w:cs="Arial"/>
        <w:b/>
        <w:color w:val="000000"/>
        <w:sz w:val="24"/>
        <w:szCs w:val="24"/>
      </w:rPr>
      <w:t xml:space="preserve">/ </w:t>
    </w:r>
    <w:r>
      <w:rPr>
        <w:rFonts w:ascii="Garamond" w:hAnsi="Garamond" w:cs="Arial"/>
        <w:b/>
        <w:color w:val="000000"/>
        <w:sz w:val="24"/>
        <w:szCs w:val="24"/>
      </w:rPr>
      <w:t xml:space="preserve">              </w:t>
    </w:r>
    <w:r w:rsidRPr="00DC3046">
      <w:rPr>
        <w:rFonts w:ascii="Garamond" w:hAnsi="Garamond" w:cs="Arial"/>
        <w:b/>
        <w:color w:val="000000"/>
        <w:sz w:val="24"/>
        <w:szCs w:val="24"/>
      </w:rPr>
      <w:t>CONVENIOS INTERADMINISTRATIVO</w:t>
    </w:r>
  </w:p>
  <w:p w14:paraId="5C125430" w14:textId="77777777" w:rsidR="001915BB" w:rsidRPr="00926937" w:rsidRDefault="001915BB" w:rsidP="00926937">
    <w:pPr>
      <w:jc w:val="center"/>
      <w:rPr>
        <w:rFonts w:ascii="Garamond" w:hAnsi="Garamond" w:cs="Arial"/>
        <w:b/>
        <w:color w:val="000000"/>
        <w:sz w:val="18"/>
        <w:szCs w:val="18"/>
      </w:rPr>
    </w:pPr>
  </w:p>
  <w:p w14:paraId="1BB0F70D" w14:textId="0C3AB5EA" w:rsidR="001915BB" w:rsidRPr="00401A61" w:rsidRDefault="001915BB" w:rsidP="00926937">
    <w:pPr>
      <w:pStyle w:val="Standard"/>
      <w:tabs>
        <w:tab w:val="left" w:pos="2131"/>
        <w:tab w:val="center" w:pos="4702"/>
      </w:tabs>
      <w:spacing w:line="360" w:lineRule="auto"/>
      <w:jc w:val="center"/>
      <w:rPr>
        <w:rFonts w:ascii="Garamond" w:hAnsi="Garamond" w:cs="Arial"/>
        <w:b/>
        <w:color w:val="808080" w:themeColor="background1" w:themeShade="80"/>
        <w:sz w:val="22"/>
        <w:szCs w:val="22"/>
      </w:rPr>
    </w:pPr>
    <w:r>
      <w:rPr>
        <w:rFonts w:ascii="Garamond" w:hAnsi="Garamond" w:cs="Arial"/>
        <w:b/>
        <w:color w:val="FF0000"/>
        <w:sz w:val="22"/>
        <w:szCs w:val="22"/>
      </w:rPr>
      <w:t xml:space="preserve">                                                                 </w:t>
    </w:r>
    <w:r w:rsidRPr="00401A61">
      <w:rPr>
        <w:rFonts w:ascii="Garamond" w:hAnsi="Garamond" w:cs="Arial"/>
        <w:b/>
        <w:color w:val="808080" w:themeColor="background1" w:themeShade="80"/>
        <w:sz w:val="22"/>
        <w:szCs w:val="22"/>
      </w:rPr>
      <w:t>A</w:t>
    </w:r>
    <w:r>
      <w:rPr>
        <w:rFonts w:ascii="Garamond" w:hAnsi="Garamond" w:cs="Arial"/>
        <w:b/>
        <w:color w:val="808080" w:themeColor="background1" w:themeShade="80"/>
        <w:sz w:val="22"/>
        <w:szCs w:val="22"/>
      </w:rPr>
      <w:t>LCALDÍA LOCAL DE LOS MÁRTIRES</w:t>
    </w:r>
  </w:p>
  <w:p w14:paraId="5787257E" w14:textId="63E1460C" w:rsidR="001915BB" w:rsidRPr="003F6C0E" w:rsidRDefault="001915BB" w:rsidP="003F6C0E">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88B"/>
    <w:multiLevelType w:val="multilevel"/>
    <w:tmpl w:val="5EAE8C9C"/>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160E09"/>
    <w:multiLevelType w:val="multilevel"/>
    <w:tmpl w:val="F2D806A2"/>
    <w:styleLink w:val="WW8Num8"/>
    <w:lvl w:ilvl="0">
      <w:start w:val="1"/>
      <w:numFmt w:val="lowerLetter"/>
      <w:lvlText w:val="%1."/>
      <w:lvlJc w:val="left"/>
      <w:rPr>
        <w:rFonts w:ascii="Arial" w:hAnsi="Arial" w:cs="Times New Roman"/>
        <w:b/>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33A0229"/>
    <w:multiLevelType w:val="hybridMultilevel"/>
    <w:tmpl w:val="D8A6F1E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0E0C84"/>
    <w:multiLevelType w:val="hybridMultilevel"/>
    <w:tmpl w:val="669CF540"/>
    <w:lvl w:ilvl="0" w:tplc="22244B80">
      <w:start w:val="1"/>
      <w:numFmt w:val="decimal"/>
      <w:lvlText w:val="%1."/>
      <w:lvlJc w:val="left"/>
      <w:pPr>
        <w:ind w:left="1146" w:hanging="360"/>
      </w:pPr>
    </w:lvl>
    <w:lvl w:ilvl="1" w:tplc="C01A2462">
      <w:start w:val="1"/>
      <w:numFmt w:val="lowerLetter"/>
      <w:lvlText w:val="%2."/>
      <w:lvlJc w:val="left"/>
      <w:pPr>
        <w:ind w:left="1222" w:hanging="360"/>
      </w:pPr>
    </w:lvl>
    <w:lvl w:ilvl="2" w:tplc="2CFC0934">
      <w:start w:val="1"/>
      <w:numFmt w:val="lowerRoman"/>
      <w:lvlText w:val="%3."/>
      <w:lvlJc w:val="right"/>
      <w:pPr>
        <w:ind w:left="1942" w:hanging="180"/>
      </w:pPr>
    </w:lvl>
    <w:lvl w:ilvl="3" w:tplc="7524867E">
      <w:start w:val="1"/>
      <w:numFmt w:val="decimal"/>
      <w:lvlText w:val="%4."/>
      <w:lvlJc w:val="left"/>
      <w:pPr>
        <w:ind w:left="2662" w:hanging="360"/>
      </w:pPr>
    </w:lvl>
    <w:lvl w:ilvl="4" w:tplc="363AAAD8">
      <w:start w:val="1"/>
      <w:numFmt w:val="lowerLetter"/>
      <w:lvlText w:val="%5."/>
      <w:lvlJc w:val="left"/>
      <w:pPr>
        <w:ind w:left="3382" w:hanging="360"/>
      </w:pPr>
    </w:lvl>
    <w:lvl w:ilvl="5" w:tplc="D170667C">
      <w:start w:val="1"/>
      <w:numFmt w:val="lowerRoman"/>
      <w:lvlText w:val="%6."/>
      <w:lvlJc w:val="right"/>
      <w:pPr>
        <w:ind w:left="4102" w:hanging="180"/>
      </w:pPr>
    </w:lvl>
    <w:lvl w:ilvl="6" w:tplc="38FEE746">
      <w:start w:val="1"/>
      <w:numFmt w:val="decimal"/>
      <w:lvlText w:val="%7."/>
      <w:lvlJc w:val="left"/>
      <w:pPr>
        <w:ind w:left="4822" w:hanging="360"/>
      </w:pPr>
    </w:lvl>
    <w:lvl w:ilvl="7" w:tplc="052222B6">
      <w:start w:val="1"/>
      <w:numFmt w:val="lowerLetter"/>
      <w:lvlText w:val="%8."/>
      <w:lvlJc w:val="left"/>
      <w:pPr>
        <w:ind w:left="5542" w:hanging="360"/>
      </w:pPr>
    </w:lvl>
    <w:lvl w:ilvl="8" w:tplc="098453D8">
      <w:start w:val="1"/>
      <w:numFmt w:val="lowerRoman"/>
      <w:lvlText w:val="%9."/>
      <w:lvlJc w:val="right"/>
      <w:pPr>
        <w:ind w:left="6262" w:hanging="180"/>
      </w:pPr>
    </w:lvl>
  </w:abstractNum>
  <w:abstractNum w:abstractNumId="4" w15:restartNumberingAfterBreak="0">
    <w:nsid w:val="0A522093"/>
    <w:multiLevelType w:val="hybridMultilevel"/>
    <w:tmpl w:val="CF34A01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F1A7C88"/>
    <w:multiLevelType w:val="multilevel"/>
    <w:tmpl w:val="65865A50"/>
    <w:lvl w:ilvl="0">
      <w:start w:val="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3856D1"/>
    <w:multiLevelType w:val="multilevel"/>
    <w:tmpl w:val="C7F0BD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BF6390"/>
    <w:multiLevelType w:val="hybridMultilevel"/>
    <w:tmpl w:val="BA9EF798"/>
    <w:lvl w:ilvl="0" w:tplc="1C7E5404">
      <w:start w:val="1"/>
      <w:numFmt w:val="decimal"/>
      <w:lvlText w:val="%1."/>
      <w:lvlJc w:val="left"/>
      <w:pPr>
        <w:ind w:left="720" w:hanging="360"/>
      </w:pPr>
    </w:lvl>
    <w:lvl w:ilvl="1" w:tplc="900226F4">
      <w:start w:val="1"/>
      <w:numFmt w:val="lowerLetter"/>
      <w:lvlText w:val="%2."/>
      <w:lvlJc w:val="left"/>
      <w:pPr>
        <w:ind w:left="1440" w:hanging="360"/>
      </w:pPr>
    </w:lvl>
    <w:lvl w:ilvl="2" w:tplc="AF1AFB6E">
      <w:start w:val="1"/>
      <w:numFmt w:val="lowerRoman"/>
      <w:lvlText w:val="%3."/>
      <w:lvlJc w:val="right"/>
      <w:pPr>
        <w:ind w:left="2160" w:hanging="180"/>
      </w:pPr>
    </w:lvl>
    <w:lvl w:ilvl="3" w:tplc="54245908">
      <w:start w:val="1"/>
      <w:numFmt w:val="decimal"/>
      <w:lvlText w:val="%4."/>
      <w:lvlJc w:val="left"/>
      <w:pPr>
        <w:ind w:left="2880" w:hanging="360"/>
      </w:pPr>
    </w:lvl>
    <w:lvl w:ilvl="4" w:tplc="1FDA443E">
      <w:start w:val="1"/>
      <w:numFmt w:val="lowerLetter"/>
      <w:lvlText w:val="%5."/>
      <w:lvlJc w:val="left"/>
      <w:pPr>
        <w:ind w:left="3600" w:hanging="360"/>
      </w:pPr>
    </w:lvl>
    <w:lvl w:ilvl="5" w:tplc="8D240FC6">
      <w:start w:val="1"/>
      <w:numFmt w:val="lowerRoman"/>
      <w:lvlText w:val="%6."/>
      <w:lvlJc w:val="right"/>
      <w:pPr>
        <w:ind w:left="4320" w:hanging="180"/>
      </w:pPr>
    </w:lvl>
    <w:lvl w:ilvl="6" w:tplc="5E428DCA">
      <w:start w:val="1"/>
      <w:numFmt w:val="decimal"/>
      <w:lvlText w:val="%7."/>
      <w:lvlJc w:val="left"/>
      <w:pPr>
        <w:ind w:left="5040" w:hanging="360"/>
      </w:pPr>
    </w:lvl>
    <w:lvl w:ilvl="7" w:tplc="E1AE6F76">
      <w:start w:val="1"/>
      <w:numFmt w:val="lowerLetter"/>
      <w:lvlText w:val="%8."/>
      <w:lvlJc w:val="left"/>
      <w:pPr>
        <w:ind w:left="5760" w:hanging="360"/>
      </w:pPr>
    </w:lvl>
    <w:lvl w:ilvl="8" w:tplc="970E8E28">
      <w:start w:val="1"/>
      <w:numFmt w:val="lowerRoman"/>
      <w:lvlText w:val="%9."/>
      <w:lvlJc w:val="right"/>
      <w:pPr>
        <w:ind w:left="6480" w:hanging="180"/>
      </w:pPr>
    </w:lvl>
  </w:abstractNum>
  <w:abstractNum w:abstractNumId="8" w15:restartNumberingAfterBreak="0">
    <w:nsid w:val="10EC6547"/>
    <w:multiLevelType w:val="hybridMultilevel"/>
    <w:tmpl w:val="38683D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7263575"/>
    <w:multiLevelType w:val="hybridMultilevel"/>
    <w:tmpl w:val="0ACC97D0"/>
    <w:lvl w:ilvl="0" w:tplc="0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C594149"/>
    <w:multiLevelType w:val="hybridMultilevel"/>
    <w:tmpl w:val="712899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CC0374C"/>
    <w:multiLevelType w:val="hybridMultilevel"/>
    <w:tmpl w:val="87289D28"/>
    <w:lvl w:ilvl="0" w:tplc="FDFA0768">
      <w:numFmt w:val="bullet"/>
      <w:lvlText w:val="•"/>
      <w:lvlJc w:val="left"/>
      <w:pPr>
        <w:ind w:left="1060" w:hanging="70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E000A6C"/>
    <w:multiLevelType w:val="multilevel"/>
    <w:tmpl w:val="05D4E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7B0949"/>
    <w:multiLevelType w:val="hybridMultilevel"/>
    <w:tmpl w:val="6714EBB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1AB959C"/>
    <w:multiLevelType w:val="hybridMultilevel"/>
    <w:tmpl w:val="FFFFFFFF"/>
    <w:lvl w:ilvl="0" w:tplc="FB8274A0">
      <w:start w:val="1"/>
      <w:numFmt w:val="bullet"/>
      <w:lvlText w:val=""/>
      <w:lvlJc w:val="left"/>
      <w:pPr>
        <w:ind w:left="720" w:hanging="360"/>
      </w:pPr>
      <w:rPr>
        <w:rFonts w:ascii="Symbol" w:hAnsi="Symbol" w:hint="default"/>
      </w:rPr>
    </w:lvl>
    <w:lvl w:ilvl="1" w:tplc="B5C4C594">
      <w:start w:val="1"/>
      <w:numFmt w:val="bullet"/>
      <w:lvlText w:val="o"/>
      <w:lvlJc w:val="left"/>
      <w:pPr>
        <w:ind w:left="1440" w:hanging="360"/>
      </w:pPr>
      <w:rPr>
        <w:rFonts w:ascii="Courier New" w:hAnsi="Courier New" w:hint="default"/>
      </w:rPr>
    </w:lvl>
    <w:lvl w:ilvl="2" w:tplc="460A7516">
      <w:start w:val="1"/>
      <w:numFmt w:val="bullet"/>
      <w:lvlText w:val=""/>
      <w:lvlJc w:val="left"/>
      <w:pPr>
        <w:ind w:left="2160" w:hanging="360"/>
      </w:pPr>
      <w:rPr>
        <w:rFonts w:ascii="Wingdings" w:hAnsi="Wingdings" w:hint="default"/>
      </w:rPr>
    </w:lvl>
    <w:lvl w:ilvl="3" w:tplc="71AC4022">
      <w:start w:val="1"/>
      <w:numFmt w:val="bullet"/>
      <w:lvlText w:val=""/>
      <w:lvlJc w:val="left"/>
      <w:pPr>
        <w:ind w:left="2880" w:hanging="360"/>
      </w:pPr>
      <w:rPr>
        <w:rFonts w:ascii="Symbol" w:hAnsi="Symbol" w:hint="default"/>
      </w:rPr>
    </w:lvl>
    <w:lvl w:ilvl="4" w:tplc="E6841A8E">
      <w:start w:val="1"/>
      <w:numFmt w:val="bullet"/>
      <w:lvlText w:val="o"/>
      <w:lvlJc w:val="left"/>
      <w:pPr>
        <w:ind w:left="3600" w:hanging="360"/>
      </w:pPr>
      <w:rPr>
        <w:rFonts w:ascii="Courier New" w:hAnsi="Courier New" w:hint="default"/>
      </w:rPr>
    </w:lvl>
    <w:lvl w:ilvl="5" w:tplc="01F21DCA">
      <w:start w:val="1"/>
      <w:numFmt w:val="bullet"/>
      <w:lvlText w:val=""/>
      <w:lvlJc w:val="left"/>
      <w:pPr>
        <w:ind w:left="4320" w:hanging="360"/>
      </w:pPr>
      <w:rPr>
        <w:rFonts w:ascii="Wingdings" w:hAnsi="Wingdings" w:hint="default"/>
      </w:rPr>
    </w:lvl>
    <w:lvl w:ilvl="6" w:tplc="20D87294">
      <w:start w:val="1"/>
      <w:numFmt w:val="bullet"/>
      <w:lvlText w:val=""/>
      <w:lvlJc w:val="left"/>
      <w:pPr>
        <w:ind w:left="5040" w:hanging="360"/>
      </w:pPr>
      <w:rPr>
        <w:rFonts w:ascii="Symbol" w:hAnsi="Symbol" w:hint="default"/>
      </w:rPr>
    </w:lvl>
    <w:lvl w:ilvl="7" w:tplc="FFB6B522">
      <w:start w:val="1"/>
      <w:numFmt w:val="bullet"/>
      <w:lvlText w:val="o"/>
      <w:lvlJc w:val="left"/>
      <w:pPr>
        <w:ind w:left="5760" w:hanging="360"/>
      </w:pPr>
      <w:rPr>
        <w:rFonts w:ascii="Courier New" w:hAnsi="Courier New" w:hint="default"/>
      </w:rPr>
    </w:lvl>
    <w:lvl w:ilvl="8" w:tplc="588ED338">
      <w:start w:val="1"/>
      <w:numFmt w:val="bullet"/>
      <w:lvlText w:val=""/>
      <w:lvlJc w:val="left"/>
      <w:pPr>
        <w:ind w:left="6480" w:hanging="360"/>
      </w:pPr>
      <w:rPr>
        <w:rFonts w:ascii="Wingdings" w:hAnsi="Wingdings" w:hint="default"/>
      </w:rPr>
    </w:lvl>
  </w:abstractNum>
  <w:abstractNum w:abstractNumId="15" w15:restartNumberingAfterBreak="0">
    <w:nsid w:val="23D97F37"/>
    <w:multiLevelType w:val="hybridMultilevel"/>
    <w:tmpl w:val="33A838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61F2CF2"/>
    <w:multiLevelType w:val="multilevel"/>
    <w:tmpl w:val="ED3A55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802927"/>
    <w:multiLevelType w:val="multilevel"/>
    <w:tmpl w:val="068EF44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ADE4165"/>
    <w:multiLevelType w:val="multilevel"/>
    <w:tmpl w:val="1994BCC4"/>
    <w:lvl w:ilvl="0">
      <w:start w:val="2"/>
      <w:numFmt w:val="decimal"/>
      <w:lvlText w:val="%1."/>
      <w:lvlJc w:val="left"/>
      <w:pPr>
        <w:ind w:left="672" w:hanging="67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3F14F34"/>
    <w:multiLevelType w:val="multilevel"/>
    <w:tmpl w:val="7E285C30"/>
    <w:lvl w:ilvl="0">
      <w:start w:val="2"/>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9517FB"/>
    <w:multiLevelType w:val="hybridMultilevel"/>
    <w:tmpl w:val="B0E034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3357F6D"/>
    <w:multiLevelType w:val="multilevel"/>
    <w:tmpl w:val="B3927F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45413B"/>
    <w:multiLevelType w:val="hybridMultilevel"/>
    <w:tmpl w:val="E72E4EA0"/>
    <w:lvl w:ilvl="0" w:tplc="5B6E0D7E">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6BD05CC"/>
    <w:multiLevelType w:val="multilevel"/>
    <w:tmpl w:val="3694491E"/>
    <w:lvl w:ilvl="0">
      <w:start w:val="2"/>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6F0DFA6"/>
    <w:multiLevelType w:val="hybridMultilevel"/>
    <w:tmpl w:val="FFFFFFFF"/>
    <w:lvl w:ilvl="0" w:tplc="D3F4B362">
      <w:start w:val="1"/>
      <w:numFmt w:val="decimal"/>
      <w:lvlText w:val="%1."/>
      <w:lvlJc w:val="left"/>
      <w:pPr>
        <w:ind w:left="720" w:hanging="360"/>
      </w:pPr>
    </w:lvl>
    <w:lvl w:ilvl="1" w:tplc="26DE67FC">
      <w:start w:val="1"/>
      <w:numFmt w:val="lowerLetter"/>
      <w:lvlText w:val="%2."/>
      <w:lvlJc w:val="left"/>
      <w:pPr>
        <w:ind w:left="1440" w:hanging="360"/>
      </w:pPr>
    </w:lvl>
    <w:lvl w:ilvl="2" w:tplc="94982B30">
      <w:start w:val="1"/>
      <w:numFmt w:val="lowerRoman"/>
      <w:lvlText w:val="%3."/>
      <w:lvlJc w:val="right"/>
      <w:pPr>
        <w:ind w:left="2160" w:hanging="180"/>
      </w:pPr>
    </w:lvl>
    <w:lvl w:ilvl="3" w:tplc="1D6868E6">
      <w:start w:val="1"/>
      <w:numFmt w:val="decimal"/>
      <w:lvlText w:val="%4."/>
      <w:lvlJc w:val="left"/>
      <w:pPr>
        <w:ind w:left="2880" w:hanging="360"/>
      </w:pPr>
    </w:lvl>
    <w:lvl w:ilvl="4" w:tplc="9634B8F6">
      <w:start w:val="1"/>
      <w:numFmt w:val="lowerLetter"/>
      <w:lvlText w:val="%5."/>
      <w:lvlJc w:val="left"/>
      <w:pPr>
        <w:ind w:left="3600" w:hanging="360"/>
      </w:pPr>
    </w:lvl>
    <w:lvl w:ilvl="5" w:tplc="29C85CB2">
      <w:start w:val="1"/>
      <w:numFmt w:val="lowerRoman"/>
      <w:lvlText w:val="%6."/>
      <w:lvlJc w:val="right"/>
      <w:pPr>
        <w:ind w:left="4320" w:hanging="180"/>
      </w:pPr>
    </w:lvl>
    <w:lvl w:ilvl="6" w:tplc="A98CE6C4">
      <w:start w:val="1"/>
      <w:numFmt w:val="decimal"/>
      <w:lvlText w:val="%7."/>
      <w:lvlJc w:val="left"/>
      <w:pPr>
        <w:ind w:left="5040" w:hanging="360"/>
      </w:pPr>
    </w:lvl>
    <w:lvl w:ilvl="7" w:tplc="81A03ED2">
      <w:start w:val="1"/>
      <w:numFmt w:val="lowerLetter"/>
      <w:lvlText w:val="%8."/>
      <w:lvlJc w:val="left"/>
      <w:pPr>
        <w:ind w:left="5760" w:hanging="360"/>
      </w:pPr>
    </w:lvl>
    <w:lvl w:ilvl="8" w:tplc="72386C4A">
      <w:start w:val="1"/>
      <w:numFmt w:val="lowerRoman"/>
      <w:lvlText w:val="%9."/>
      <w:lvlJc w:val="right"/>
      <w:pPr>
        <w:ind w:left="6480" w:hanging="180"/>
      </w:pPr>
    </w:lvl>
  </w:abstractNum>
  <w:abstractNum w:abstractNumId="25" w15:restartNumberingAfterBreak="0">
    <w:nsid w:val="51E921C7"/>
    <w:multiLevelType w:val="hybridMultilevel"/>
    <w:tmpl w:val="D714D9B8"/>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20C6319"/>
    <w:multiLevelType w:val="hybridMultilevel"/>
    <w:tmpl w:val="22B861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3411EF9"/>
    <w:multiLevelType w:val="multilevel"/>
    <w:tmpl w:val="EB222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155413"/>
    <w:multiLevelType w:val="multilevel"/>
    <w:tmpl w:val="A5600088"/>
    <w:lvl w:ilvl="0">
      <w:start w:val="3"/>
      <w:numFmt w:val="decimal"/>
      <w:lvlText w:val="%1."/>
      <w:lvlJc w:val="left"/>
      <w:pPr>
        <w:ind w:left="360" w:hanging="360"/>
      </w:pPr>
      <w:rPr>
        <w:rFonts w:ascii="Calibri" w:hAnsi="Calibri"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9" w15:restartNumberingAfterBreak="0">
    <w:nsid w:val="58DA6337"/>
    <w:multiLevelType w:val="hybridMultilevel"/>
    <w:tmpl w:val="DBA25512"/>
    <w:lvl w:ilvl="0" w:tplc="095A3DE2">
      <w:start w:val="1"/>
      <w:numFmt w:val="decimal"/>
      <w:pStyle w:val="Ttulo31"/>
      <w:lvlText w:val="%1."/>
      <w:lvlJc w:val="left"/>
      <w:pPr>
        <w:ind w:left="3156" w:hanging="360"/>
      </w:pPr>
      <w:rPr>
        <w:rFonts w:ascii="Calibri" w:hAnsi="Calibri" w:hint="default"/>
        <w:sz w:val="22"/>
      </w:rPr>
    </w:lvl>
    <w:lvl w:ilvl="1" w:tplc="7F3EDB1A" w:tentative="1">
      <w:start w:val="1"/>
      <w:numFmt w:val="lowerLetter"/>
      <w:lvlText w:val="%2."/>
      <w:lvlJc w:val="left"/>
      <w:pPr>
        <w:ind w:left="3876" w:hanging="360"/>
      </w:pPr>
    </w:lvl>
    <w:lvl w:ilvl="2" w:tplc="293C5026" w:tentative="1">
      <w:start w:val="1"/>
      <w:numFmt w:val="lowerRoman"/>
      <w:lvlText w:val="%3."/>
      <w:lvlJc w:val="right"/>
      <w:pPr>
        <w:ind w:left="4596" w:hanging="180"/>
      </w:pPr>
    </w:lvl>
    <w:lvl w:ilvl="3" w:tplc="1EA4D63C" w:tentative="1">
      <w:start w:val="1"/>
      <w:numFmt w:val="decimal"/>
      <w:lvlText w:val="%4."/>
      <w:lvlJc w:val="left"/>
      <w:pPr>
        <w:ind w:left="5316" w:hanging="360"/>
      </w:pPr>
    </w:lvl>
    <w:lvl w:ilvl="4" w:tplc="35D825EE" w:tentative="1">
      <w:start w:val="1"/>
      <w:numFmt w:val="lowerLetter"/>
      <w:lvlText w:val="%5."/>
      <w:lvlJc w:val="left"/>
      <w:pPr>
        <w:ind w:left="6036" w:hanging="360"/>
      </w:pPr>
    </w:lvl>
    <w:lvl w:ilvl="5" w:tplc="60D09C54" w:tentative="1">
      <w:start w:val="1"/>
      <w:numFmt w:val="lowerRoman"/>
      <w:lvlText w:val="%6."/>
      <w:lvlJc w:val="right"/>
      <w:pPr>
        <w:ind w:left="6756" w:hanging="180"/>
      </w:pPr>
    </w:lvl>
    <w:lvl w:ilvl="6" w:tplc="EFF04D3C" w:tentative="1">
      <w:start w:val="1"/>
      <w:numFmt w:val="decimal"/>
      <w:lvlText w:val="%7."/>
      <w:lvlJc w:val="left"/>
      <w:pPr>
        <w:ind w:left="7476" w:hanging="360"/>
      </w:pPr>
    </w:lvl>
    <w:lvl w:ilvl="7" w:tplc="5D423EEE" w:tentative="1">
      <w:start w:val="1"/>
      <w:numFmt w:val="lowerLetter"/>
      <w:lvlText w:val="%8."/>
      <w:lvlJc w:val="left"/>
      <w:pPr>
        <w:ind w:left="8196" w:hanging="360"/>
      </w:pPr>
    </w:lvl>
    <w:lvl w:ilvl="8" w:tplc="BDAC0594" w:tentative="1">
      <w:start w:val="1"/>
      <w:numFmt w:val="lowerRoman"/>
      <w:lvlText w:val="%9."/>
      <w:lvlJc w:val="right"/>
      <w:pPr>
        <w:ind w:left="8916" w:hanging="180"/>
      </w:pPr>
    </w:lvl>
  </w:abstractNum>
  <w:abstractNum w:abstractNumId="30" w15:restartNumberingAfterBreak="0">
    <w:nsid w:val="5A0C3E00"/>
    <w:multiLevelType w:val="hybridMultilevel"/>
    <w:tmpl w:val="194271EA"/>
    <w:lvl w:ilvl="0" w:tplc="48BA6362">
      <w:start w:val="4"/>
      <w:numFmt w:val="bullet"/>
      <w:lvlText w:val="-"/>
      <w:lvlJc w:val="left"/>
      <w:pPr>
        <w:ind w:left="720" w:hanging="360"/>
      </w:pPr>
      <w:rPr>
        <w:rFonts w:ascii="Garamond" w:eastAsia="Times New Roman" w:hAnsi="Garamond"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AA81A1D"/>
    <w:multiLevelType w:val="multilevel"/>
    <w:tmpl w:val="E4A6375C"/>
    <w:styleLink w:val="WW8Num5"/>
    <w:lvl w:ilvl="0">
      <w:numFmt w:val="bullet"/>
      <w:lvlText w:val=""/>
      <w:lvlJc w:val="left"/>
      <w:rPr>
        <w:rFonts w:ascii="Symbol" w:eastAsia="Times New Roman" w:hAnsi="Symbol"/>
        <w:b/>
        <w:color w:val="A6A6A6"/>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5E01113E"/>
    <w:multiLevelType w:val="multilevel"/>
    <w:tmpl w:val="33FEEF96"/>
    <w:styleLink w:val="WW8Num7"/>
    <w:lvl w:ilvl="0">
      <w:start w:val="1"/>
      <w:numFmt w:val="lowerLetter"/>
      <w:lvlText w:val="%1."/>
      <w:lvlJc w:val="left"/>
      <w:rPr>
        <w:rFonts w:ascii="Arial" w:hAnsi="Arial" w:cs="Arial"/>
        <w:b w:val="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63337298"/>
    <w:multiLevelType w:val="multilevel"/>
    <w:tmpl w:val="CA76CCB4"/>
    <w:lvl w:ilvl="0">
      <w:start w:val="2"/>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DF44C3"/>
    <w:multiLevelType w:val="multilevel"/>
    <w:tmpl w:val="586EC6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AC0181"/>
    <w:multiLevelType w:val="multilevel"/>
    <w:tmpl w:val="C6D6A6C0"/>
    <w:lvl w:ilvl="0">
      <w:start w:val="2"/>
      <w:numFmt w:val="decimal"/>
      <w:lvlText w:val="%1."/>
      <w:lvlJc w:val="left"/>
      <w:pPr>
        <w:ind w:left="828" w:hanging="828"/>
      </w:pPr>
      <w:rPr>
        <w:rFonts w:hint="default"/>
      </w:rPr>
    </w:lvl>
    <w:lvl w:ilvl="1">
      <w:start w:val="2"/>
      <w:numFmt w:val="decimal"/>
      <w:lvlText w:val="%1.%2."/>
      <w:lvlJc w:val="left"/>
      <w:pPr>
        <w:ind w:left="828" w:hanging="828"/>
      </w:pPr>
      <w:rPr>
        <w:rFonts w:hint="default"/>
      </w:rPr>
    </w:lvl>
    <w:lvl w:ilvl="2">
      <w:start w:val="3"/>
      <w:numFmt w:val="decimal"/>
      <w:lvlText w:val="%1.%2.%3."/>
      <w:lvlJc w:val="left"/>
      <w:pPr>
        <w:ind w:left="828" w:hanging="828"/>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D873279"/>
    <w:multiLevelType w:val="multilevel"/>
    <w:tmpl w:val="2D54685E"/>
    <w:lvl w:ilvl="0">
      <w:start w:val="1"/>
      <w:numFmt w:val="decimal"/>
      <w:lvlText w:val="%1."/>
      <w:lvlJc w:val="left"/>
      <w:pPr>
        <w:ind w:left="432" w:hanging="432"/>
      </w:pPr>
      <w:rPr>
        <w:rFonts w:ascii="Calibri" w:hAnsi="Calibri" w:hint="default"/>
      </w:rPr>
    </w:lvl>
    <w:lvl w:ilvl="1">
      <w:start w:val="1"/>
      <w:numFmt w:val="decimal"/>
      <w:pStyle w:val="Ttulo2"/>
      <w:lvlText w:val="%1.%2."/>
      <w:lvlJc w:val="left"/>
      <w:pPr>
        <w:ind w:left="576" w:hanging="576"/>
      </w:pPr>
    </w:lvl>
    <w:lvl w:ilvl="2">
      <w:start w:val="1"/>
      <w:numFmt w:val="decimal"/>
      <w:pStyle w:val="Ttulo4"/>
      <w:lvlText w:val="%1.%2.%3"/>
      <w:lvlJc w:val="left"/>
      <w:pPr>
        <w:ind w:left="720" w:hanging="720"/>
      </w:pPr>
    </w:lvl>
    <w:lvl w:ilvl="3">
      <w:start w:val="1"/>
      <w:numFmt w:val="decimal"/>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1"/>
      <w:lvlText w:val="%1.%2.%3.%4.%5.%6.%7"/>
      <w:lvlJc w:val="left"/>
      <w:pPr>
        <w:ind w:left="1296" w:hanging="1296"/>
      </w:pPr>
    </w:lvl>
    <w:lvl w:ilvl="7">
      <w:start w:val="1"/>
      <w:numFmt w:val="decimal"/>
      <w:pStyle w:val="Ttulo81"/>
      <w:lvlText w:val="%1.%2.%3.%4.%5.%6.%7.%8"/>
      <w:lvlJc w:val="left"/>
      <w:pPr>
        <w:ind w:left="1440" w:hanging="1440"/>
      </w:pPr>
    </w:lvl>
    <w:lvl w:ilvl="8">
      <w:start w:val="1"/>
      <w:numFmt w:val="decimal"/>
      <w:pStyle w:val="Ttulo91"/>
      <w:lvlText w:val="%1.%2.%3.%4.%5.%6.%7.%8.%9"/>
      <w:lvlJc w:val="left"/>
      <w:pPr>
        <w:ind w:left="1584" w:hanging="1584"/>
      </w:pPr>
    </w:lvl>
  </w:abstractNum>
  <w:abstractNum w:abstractNumId="37" w15:restartNumberingAfterBreak="0">
    <w:nsid w:val="6EAA3B78"/>
    <w:multiLevelType w:val="hybridMultilevel"/>
    <w:tmpl w:val="30DCBE2A"/>
    <w:lvl w:ilvl="0" w:tplc="FFFFFFFF">
      <w:start w:val="1"/>
      <w:numFmt w:val="decimal"/>
      <w:lvlText w:val="%1."/>
      <w:lvlJc w:val="lef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38" w15:restartNumberingAfterBreak="0">
    <w:nsid w:val="74F82762"/>
    <w:multiLevelType w:val="multilevel"/>
    <w:tmpl w:val="A5600088"/>
    <w:lvl w:ilvl="0">
      <w:start w:val="3"/>
      <w:numFmt w:val="decimal"/>
      <w:lvlText w:val="%1."/>
      <w:lvlJc w:val="left"/>
      <w:pPr>
        <w:ind w:left="360" w:hanging="360"/>
      </w:pPr>
      <w:rPr>
        <w:rFonts w:ascii="Calibri" w:hAnsi="Calibri"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39" w15:restartNumberingAfterBreak="0">
    <w:nsid w:val="74FE1024"/>
    <w:multiLevelType w:val="multilevel"/>
    <w:tmpl w:val="B46AF6E4"/>
    <w:lvl w:ilvl="0">
      <w:start w:val="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E6128D"/>
    <w:multiLevelType w:val="multilevel"/>
    <w:tmpl w:val="CC7C45AC"/>
    <w:lvl w:ilvl="0">
      <w:start w:val="2"/>
      <w:numFmt w:val="decimal"/>
      <w:lvlText w:val="%1."/>
      <w:lvlJc w:val="left"/>
      <w:pPr>
        <w:ind w:left="672" w:hanging="67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D9C21C"/>
    <w:multiLevelType w:val="hybridMultilevel"/>
    <w:tmpl w:val="1ED8C5DE"/>
    <w:lvl w:ilvl="0" w:tplc="5AF603D8">
      <w:start w:val="1"/>
      <w:numFmt w:val="decimal"/>
      <w:lvlText w:val="%1."/>
      <w:lvlJc w:val="left"/>
      <w:pPr>
        <w:ind w:left="720" w:hanging="360"/>
      </w:pPr>
    </w:lvl>
    <w:lvl w:ilvl="1" w:tplc="D9121362">
      <w:start w:val="1"/>
      <w:numFmt w:val="lowerLetter"/>
      <w:lvlText w:val="%2."/>
      <w:lvlJc w:val="left"/>
      <w:pPr>
        <w:ind w:left="1440" w:hanging="360"/>
      </w:pPr>
    </w:lvl>
    <w:lvl w:ilvl="2" w:tplc="F214A0E8">
      <w:start w:val="1"/>
      <w:numFmt w:val="lowerRoman"/>
      <w:lvlText w:val="%3."/>
      <w:lvlJc w:val="right"/>
      <w:pPr>
        <w:ind w:left="2160" w:hanging="180"/>
      </w:pPr>
    </w:lvl>
    <w:lvl w:ilvl="3" w:tplc="56C63ECA">
      <w:start w:val="1"/>
      <w:numFmt w:val="decimal"/>
      <w:lvlText w:val="%4."/>
      <w:lvlJc w:val="left"/>
      <w:pPr>
        <w:ind w:left="2880" w:hanging="360"/>
      </w:pPr>
    </w:lvl>
    <w:lvl w:ilvl="4" w:tplc="4C72FF22">
      <w:start w:val="1"/>
      <w:numFmt w:val="lowerLetter"/>
      <w:lvlText w:val="%5."/>
      <w:lvlJc w:val="left"/>
      <w:pPr>
        <w:ind w:left="3600" w:hanging="360"/>
      </w:pPr>
    </w:lvl>
    <w:lvl w:ilvl="5" w:tplc="83B41448">
      <w:start w:val="1"/>
      <w:numFmt w:val="lowerRoman"/>
      <w:lvlText w:val="%6."/>
      <w:lvlJc w:val="right"/>
      <w:pPr>
        <w:ind w:left="4320" w:hanging="180"/>
      </w:pPr>
    </w:lvl>
    <w:lvl w:ilvl="6" w:tplc="7C5407E2">
      <w:start w:val="1"/>
      <w:numFmt w:val="decimal"/>
      <w:lvlText w:val="%7."/>
      <w:lvlJc w:val="left"/>
      <w:pPr>
        <w:ind w:left="5040" w:hanging="360"/>
      </w:pPr>
    </w:lvl>
    <w:lvl w:ilvl="7" w:tplc="D5603CEA">
      <w:start w:val="1"/>
      <w:numFmt w:val="lowerLetter"/>
      <w:lvlText w:val="%8."/>
      <w:lvlJc w:val="left"/>
      <w:pPr>
        <w:ind w:left="5760" w:hanging="360"/>
      </w:pPr>
    </w:lvl>
    <w:lvl w:ilvl="8" w:tplc="34228264">
      <w:start w:val="1"/>
      <w:numFmt w:val="lowerRoman"/>
      <w:lvlText w:val="%9."/>
      <w:lvlJc w:val="right"/>
      <w:pPr>
        <w:ind w:left="6480" w:hanging="180"/>
      </w:pPr>
    </w:lvl>
  </w:abstractNum>
  <w:abstractNum w:abstractNumId="42" w15:restartNumberingAfterBreak="0">
    <w:nsid w:val="79FD93CD"/>
    <w:multiLevelType w:val="hybridMultilevel"/>
    <w:tmpl w:val="C47EAF12"/>
    <w:styleLink w:val="Listaactual8"/>
    <w:lvl w:ilvl="0" w:tplc="F262412C">
      <w:start w:val="1"/>
      <w:numFmt w:val="decimal"/>
      <w:lvlText w:val="%1."/>
      <w:lvlJc w:val="left"/>
      <w:pPr>
        <w:ind w:left="720" w:hanging="360"/>
      </w:pPr>
    </w:lvl>
    <w:lvl w:ilvl="1" w:tplc="A71C6C06">
      <w:start w:val="1"/>
      <w:numFmt w:val="lowerLetter"/>
      <w:lvlText w:val="%2."/>
      <w:lvlJc w:val="left"/>
      <w:pPr>
        <w:ind w:left="1440" w:hanging="360"/>
      </w:pPr>
    </w:lvl>
    <w:lvl w:ilvl="2" w:tplc="820A28A2">
      <w:start w:val="1"/>
      <w:numFmt w:val="lowerRoman"/>
      <w:lvlText w:val="%3."/>
      <w:lvlJc w:val="right"/>
      <w:pPr>
        <w:ind w:left="2160" w:hanging="180"/>
      </w:pPr>
    </w:lvl>
    <w:lvl w:ilvl="3" w:tplc="22B607AA">
      <w:start w:val="1"/>
      <w:numFmt w:val="decimal"/>
      <w:lvlText w:val="%4."/>
      <w:lvlJc w:val="left"/>
      <w:pPr>
        <w:ind w:left="2880" w:hanging="360"/>
      </w:pPr>
    </w:lvl>
    <w:lvl w:ilvl="4" w:tplc="5C2ECCEA">
      <w:start w:val="1"/>
      <w:numFmt w:val="lowerLetter"/>
      <w:lvlText w:val="%5."/>
      <w:lvlJc w:val="left"/>
      <w:pPr>
        <w:ind w:left="3600" w:hanging="360"/>
      </w:pPr>
    </w:lvl>
    <w:lvl w:ilvl="5" w:tplc="E2E614EC">
      <w:start w:val="1"/>
      <w:numFmt w:val="lowerRoman"/>
      <w:lvlText w:val="%6."/>
      <w:lvlJc w:val="right"/>
      <w:pPr>
        <w:ind w:left="4320" w:hanging="180"/>
      </w:pPr>
    </w:lvl>
    <w:lvl w:ilvl="6" w:tplc="FFAAEC24">
      <w:start w:val="1"/>
      <w:numFmt w:val="decimal"/>
      <w:lvlText w:val="%7."/>
      <w:lvlJc w:val="left"/>
      <w:pPr>
        <w:ind w:left="5040" w:hanging="360"/>
      </w:pPr>
    </w:lvl>
    <w:lvl w:ilvl="7" w:tplc="CD5CC934">
      <w:start w:val="1"/>
      <w:numFmt w:val="lowerLetter"/>
      <w:lvlText w:val="%8."/>
      <w:lvlJc w:val="left"/>
      <w:pPr>
        <w:ind w:left="5760" w:hanging="360"/>
      </w:pPr>
    </w:lvl>
    <w:lvl w:ilvl="8" w:tplc="85E05C2C">
      <w:start w:val="1"/>
      <w:numFmt w:val="lowerRoman"/>
      <w:lvlText w:val="%9."/>
      <w:lvlJc w:val="right"/>
      <w:pPr>
        <w:ind w:left="6480" w:hanging="180"/>
      </w:pPr>
    </w:lvl>
  </w:abstractNum>
  <w:abstractNum w:abstractNumId="43" w15:restartNumberingAfterBreak="0">
    <w:nsid w:val="7A7D62D7"/>
    <w:multiLevelType w:val="multilevel"/>
    <w:tmpl w:val="499E840E"/>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num w:numId="1" w16cid:durableId="1261068444">
    <w:abstractNumId w:val="31"/>
  </w:num>
  <w:num w:numId="2" w16cid:durableId="854614791">
    <w:abstractNumId w:val="32"/>
  </w:num>
  <w:num w:numId="3" w16cid:durableId="676735678">
    <w:abstractNumId w:val="1"/>
  </w:num>
  <w:num w:numId="4" w16cid:durableId="1276985729">
    <w:abstractNumId w:val="43"/>
  </w:num>
  <w:num w:numId="5" w16cid:durableId="280112069">
    <w:abstractNumId w:val="15"/>
  </w:num>
  <w:num w:numId="6" w16cid:durableId="1737581828">
    <w:abstractNumId w:val="0"/>
  </w:num>
  <w:num w:numId="7" w16cid:durableId="1802141336">
    <w:abstractNumId w:val="25"/>
  </w:num>
  <w:num w:numId="8" w16cid:durableId="2079478826">
    <w:abstractNumId w:val="33"/>
  </w:num>
  <w:num w:numId="9" w16cid:durableId="1488787561">
    <w:abstractNumId w:val="30"/>
  </w:num>
  <w:num w:numId="10" w16cid:durableId="721296701">
    <w:abstractNumId w:val="41"/>
  </w:num>
  <w:num w:numId="11" w16cid:durableId="1108702366">
    <w:abstractNumId w:val="3"/>
  </w:num>
  <w:num w:numId="12" w16cid:durableId="2011371164">
    <w:abstractNumId w:val="37"/>
  </w:num>
  <w:num w:numId="13" w16cid:durableId="1217938124">
    <w:abstractNumId w:val="7"/>
  </w:num>
  <w:num w:numId="14" w16cid:durableId="2134015507">
    <w:abstractNumId w:val="12"/>
  </w:num>
  <w:num w:numId="15" w16cid:durableId="1531800435">
    <w:abstractNumId w:val="16"/>
  </w:num>
  <w:num w:numId="16" w16cid:durableId="1887524625">
    <w:abstractNumId w:val="34"/>
  </w:num>
  <w:num w:numId="17" w16cid:durableId="131288004">
    <w:abstractNumId w:val="27"/>
  </w:num>
  <w:num w:numId="18" w16cid:durableId="621036328">
    <w:abstractNumId w:val="6"/>
  </w:num>
  <w:num w:numId="19" w16cid:durableId="1556117219">
    <w:abstractNumId w:val="21"/>
  </w:num>
  <w:num w:numId="20" w16cid:durableId="787552806">
    <w:abstractNumId w:val="38"/>
  </w:num>
  <w:num w:numId="21" w16cid:durableId="1704675140">
    <w:abstractNumId w:val="28"/>
  </w:num>
  <w:num w:numId="22" w16cid:durableId="358820228">
    <w:abstractNumId w:val="14"/>
  </w:num>
  <w:num w:numId="23" w16cid:durableId="407727913">
    <w:abstractNumId w:val="18"/>
  </w:num>
  <w:num w:numId="24" w16cid:durableId="1783262736">
    <w:abstractNumId w:val="10"/>
  </w:num>
  <w:num w:numId="25" w16cid:durableId="1183469663">
    <w:abstractNumId w:val="24"/>
  </w:num>
  <w:num w:numId="26" w16cid:durableId="1851986436">
    <w:abstractNumId w:val="42"/>
  </w:num>
  <w:num w:numId="27" w16cid:durableId="323290039">
    <w:abstractNumId w:val="36"/>
  </w:num>
  <w:num w:numId="28" w16cid:durableId="577666883">
    <w:abstractNumId w:val="29"/>
  </w:num>
  <w:num w:numId="29" w16cid:durableId="1848862655">
    <w:abstractNumId w:val="22"/>
  </w:num>
  <w:num w:numId="30" w16cid:durableId="1305158291">
    <w:abstractNumId w:val="11"/>
  </w:num>
  <w:num w:numId="31" w16cid:durableId="1800486802">
    <w:abstractNumId w:val="9"/>
  </w:num>
  <w:num w:numId="32" w16cid:durableId="341319692">
    <w:abstractNumId w:val="20"/>
  </w:num>
  <w:num w:numId="33" w16cid:durableId="2143964920">
    <w:abstractNumId w:val="17"/>
  </w:num>
  <w:num w:numId="34" w16cid:durableId="466748262">
    <w:abstractNumId w:val="8"/>
  </w:num>
  <w:num w:numId="35" w16cid:durableId="1514563981">
    <w:abstractNumId w:val="26"/>
  </w:num>
  <w:num w:numId="36" w16cid:durableId="26496072">
    <w:abstractNumId w:val="23"/>
  </w:num>
  <w:num w:numId="37" w16cid:durableId="389616399">
    <w:abstractNumId w:val="5"/>
  </w:num>
  <w:num w:numId="38" w16cid:durableId="1771582747">
    <w:abstractNumId w:val="19"/>
  </w:num>
  <w:num w:numId="39" w16cid:durableId="263416805">
    <w:abstractNumId w:val="35"/>
  </w:num>
  <w:num w:numId="40" w16cid:durableId="1950433716">
    <w:abstractNumId w:val="40"/>
  </w:num>
  <w:num w:numId="41" w16cid:durableId="128742095">
    <w:abstractNumId w:val="13"/>
  </w:num>
  <w:num w:numId="42" w16cid:durableId="747045779">
    <w:abstractNumId w:val="4"/>
  </w:num>
  <w:num w:numId="43" w16cid:durableId="73358510">
    <w:abstractNumId w:val="39"/>
  </w:num>
  <w:num w:numId="44" w16cid:durableId="349986572">
    <w:abstractNumId w:val="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z Porras">
    <w15:presenceInfo w15:providerId="Windows Live" w15:userId="92932d9e1d8be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E3"/>
    <w:rsid w:val="000002E5"/>
    <w:rsid w:val="00002385"/>
    <w:rsid w:val="00003A4A"/>
    <w:rsid w:val="000049C8"/>
    <w:rsid w:val="00004FB7"/>
    <w:rsid w:val="00005430"/>
    <w:rsid w:val="00006479"/>
    <w:rsid w:val="000103C5"/>
    <w:rsid w:val="00011972"/>
    <w:rsid w:val="00012687"/>
    <w:rsid w:val="00013276"/>
    <w:rsid w:val="000139F6"/>
    <w:rsid w:val="00014801"/>
    <w:rsid w:val="00014CF9"/>
    <w:rsid w:val="0001682F"/>
    <w:rsid w:val="00016BA0"/>
    <w:rsid w:val="00016E76"/>
    <w:rsid w:val="00017BE8"/>
    <w:rsid w:val="00020EA0"/>
    <w:rsid w:val="00023312"/>
    <w:rsid w:val="00023795"/>
    <w:rsid w:val="00030B50"/>
    <w:rsid w:val="00033488"/>
    <w:rsid w:val="000343B2"/>
    <w:rsid w:val="00035466"/>
    <w:rsid w:val="00035BB8"/>
    <w:rsid w:val="00036163"/>
    <w:rsid w:val="0003653A"/>
    <w:rsid w:val="0004013C"/>
    <w:rsid w:val="000403B7"/>
    <w:rsid w:val="00040D22"/>
    <w:rsid w:val="00040E75"/>
    <w:rsid w:val="0004101D"/>
    <w:rsid w:val="00041405"/>
    <w:rsid w:val="00041BEF"/>
    <w:rsid w:val="000431DC"/>
    <w:rsid w:val="000434C9"/>
    <w:rsid w:val="00047908"/>
    <w:rsid w:val="00047EE9"/>
    <w:rsid w:val="00051C39"/>
    <w:rsid w:val="0005266A"/>
    <w:rsid w:val="00052B32"/>
    <w:rsid w:val="000531F8"/>
    <w:rsid w:val="0005499C"/>
    <w:rsid w:val="00054E37"/>
    <w:rsid w:val="000617F1"/>
    <w:rsid w:val="00061E86"/>
    <w:rsid w:val="00064DDA"/>
    <w:rsid w:val="000666B1"/>
    <w:rsid w:val="0006704D"/>
    <w:rsid w:val="00071110"/>
    <w:rsid w:val="00072506"/>
    <w:rsid w:val="00073815"/>
    <w:rsid w:val="0007429A"/>
    <w:rsid w:val="000748BF"/>
    <w:rsid w:val="00076285"/>
    <w:rsid w:val="000762F8"/>
    <w:rsid w:val="00076320"/>
    <w:rsid w:val="000763A3"/>
    <w:rsid w:val="00080405"/>
    <w:rsid w:val="00080531"/>
    <w:rsid w:val="00083273"/>
    <w:rsid w:val="000839E7"/>
    <w:rsid w:val="00083AD2"/>
    <w:rsid w:val="000857A3"/>
    <w:rsid w:val="00086103"/>
    <w:rsid w:val="00086B93"/>
    <w:rsid w:val="00086CD2"/>
    <w:rsid w:val="000877FF"/>
    <w:rsid w:val="00087FEB"/>
    <w:rsid w:val="0009020B"/>
    <w:rsid w:val="00091B6C"/>
    <w:rsid w:val="00093DD6"/>
    <w:rsid w:val="00095A93"/>
    <w:rsid w:val="000A2440"/>
    <w:rsid w:val="000A5332"/>
    <w:rsid w:val="000A5811"/>
    <w:rsid w:val="000A5814"/>
    <w:rsid w:val="000A5AB3"/>
    <w:rsid w:val="000A61C0"/>
    <w:rsid w:val="000A61EF"/>
    <w:rsid w:val="000B0FD4"/>
    <w:rsid w:val="000B2F24"/>
    <w:rsid w:val="000B38AF"/>
    <w:rsid w:val="000B3AFE"/>
    <w:rsid w:val="000B56C6"/>
    <w:rsid w:val="000B58EA"/>
    <w:rsid w:val="000B60A0"/>
    <w:rsid w:val="000B6F83"/>
    <w:rsid w:val="000B76DF"/>
    <w:rsid w:val="000C046B"/>
    <w:rsid w:val="000C1A4F"/>
    <w:rsid w:val="000C2207"/>
    <w:rsid w:val="000C412D"/>
    <w:rsid w:val="000C5B85"/>
    <w:rsid w:val="000C6A47"/>
    <w:rsid w:val="000C6C66"/>
    <w:rsid w:val="000D1B0F"/>
    <w:rsid w:val="000D24EE"/>
    <w:rsid w:val="000D3962"/>
    <w:rsid w:val="000D39AC"/>
    <w:rsid w:val="000D7712"/>
    <w:rsid w:val="000D77B4"/>
    <w:rsid w:val="000E044D"/>
    <w:rsid w:val="000E0775"/>
    <w:rsid w:val="000E132E"/>
    <w:rsid w:val="000E215F"/>
    <w:rsid w:val="000E327D"/>
    <w:rsid w:val="000E47C2"/>
    <w:rsid w:val="000E4B82"/>
    <w:rsid w:val="000E4FB6"/>
    <w:rsid w:val="000E5E46"/>
    <w:rsid w:val="000E5F93"/>
    <w:rsid w:val="000E6960"/>
    <w:rsid w:val="000E6E37"/>
    <w:rsid w:val="000E7763"/>
    <w:rsid w:val="000E77F2"/>
    <w:rsid w:val="000F19B2"/>
    <w:rsid w:val="000F30C0"/>
    <w:rsid w:val="000F3D73"/>
    <w:rsid w:val="000F3EF3"/>
    <w:rsid w:val="000F3FD5"/>
    <w:rsid w:val="000F42B2"/>
    <w:rsid w:val="000F44A5"/>
    <w:rsid w:val="000F4720"/>
    <w:rsid w:val="000F60B4"/>
    <w:rsid w:val="00103C08"/>
    <w:rsid w:val="00103F95"/>
    <w:rsid w:val="001044E2"/>
    <w:rsid w:val="001057AF"/>
    <w:rsid w:val="00107D13"/>
    <w:rsid w:val="00107EE0"/>
    <w:rsid w:val="00107F63"/>
    <w:rsid w:val="001144F8"/>
    <w:rsid w:val="00114A5F"/>
    <w:rsid w:val="00114BFA"/>
    <w:rsid w:val="00115875"/>
    <w:rsid w:val="001228B2"/>
    <w:rsid w:val="00124E18"/>
    <w:rsid w:val="0012508A"/>
    <w:rsid w:val="00127A08"/>
    <w:rsid w:val="001310CC"/>
    <w:rsid w:val="00131903"/>
    <w:rsid w:val="00132AC4"/>
    <w:rsid w:val="00133964"/>
    <w:rsid w:val="001352F8"/>
    <w:rsid w:val="00136065"/>
    <w:rsid w:val="0013629A"/>
    <w:rsid w:val="0013691D"/>
    <w:rsid w:val="00140170"/>
    <w:rsid w:val="00140AD7"/>
    <w:rsid w:val="00141D14"/>
    <w:rsid w:val="00141D33"/>
    <w:rsid w:val="00143C3F"/>
    <w:rsid w:val="00147F52"/>
    <w:rsid w:val="001527B0"/>
    <w:rsid w:val="001528A1"/>
    <w:rsid w:val="00152FC1"/>
    <w:rsid w:val="001540C8"/>
    <w:rsid w:val="001556C8"/>
    <w:rsid w:val="001558BB"/>
    <w:rsid w:val="00155C2D"/>
    <w:rsid w:val="001575B5"/>
    <w:rsid w:val="001579E2"/>
    <w:rsid w:val="00157BAC"/>
    <w:rsid w:val="001607D2"/>
    <w:rsid w:val="00162327"/>
    <w:rsid w:val="001628BC"/>
    <w:rsid w:val="0016315C"/>
    <w:rsid w:val="001652D7"/>
    <w:rsid w:val="001654E3"/>
    <w:rsid w:val="001655B8"/>
    <w:rsid w:val="001658EF"/>
    <w:rsid w:val="00165E0D"/>
    <w:rsid w:val="00170CBD"/>
    <w:rsid w:val="0017110D"/>
    <w:rsid w:val="00171336"/>
    <w:rsid w:val="00171A90"/>
    <w:rsid w:val="00172B2D"/>
    <w:rsid w:val="00174FCB"/>
    <w:rsid w:val="00180BF3"/>
    <w:rsid w:val="00182EF0"/>
    <w:rsid w:val="001834E8"/>
    <w:rsid w:val="00185AC4"/>
    <w:rsid w:val="00190AEA"/>
    <w:rsid w:val="001915BB"/>
    <w:rsid w:val="001942C7"/>
    <w:rsid w:val="00194A7B"/>
    <w:rsid w:val="00194EFF"/>
    <w:rsid w:val="00195E7C"/>
    <w:rsid w:val="001961E5"/>
    <w:rsid w:val="0019695B"/>
    <w:rsid w:val="00197339"/>
    <w:rsid w:val="001A0D59"/>
    <w:rsid w:val="001A1F91"/>
    <w:rsid w:val="001A2805"/>
    <w:rsid w:val="001A2937"/>
    <w:rsid w:val="001A34B6"/>
    <w:rsid w:val="001A475E"/>
    <w:rsid w:val="001B1B62"/>
    <w:rsid w:val="001B2619"/>
    <w:rsid w:val="001B2DBE"/>
    <w:rsid w:val="001B3132"/>
    <w:rsid w:val="001B63BE"/>
    <w:rsid w:val="001B762B"/>
    <w:rsid w:val="001B7E82"/>
    <w:rsid w:val="001C173E"/>
    <w:rsid w:val="001C28C7"/>
    <w:rsid w:val="001C3ABC"/>
    <w:rsid w:val="001C5586"/>
    <w:rsid w:val="001C5804"/>
    <w:rsid w:val="001C5F3C"/>
    <w:rsid w:val="001D01DC"/>
    <w:rsid w:val="001D0C50"/>
    <w:rsid w:val="001D3CEC"/>
    <w:rsid w:val="001D4C18"/>
    <w:rsid w:val="001D5854"/>
    <w:rsid w:val="001D6FA2"/>
    <w:rsid w:val="001D7480"/>
    <w:rsid w:val="001E0AB0"/>
    <w:rsid w:val="001E1057"/>
    <w:rsid w:val="001E14FA"/>
    <w:rsid w:val="001E195B"/>
    <w:rsid w:val="001E26FA"/>
    <w:rsid w:val="001E4203"/>
    <w:rsid w:val="001E7285"/>
    <w:rsid w:val="001F00B8"/>
    <w:rsid w:val="001F09E1"/>
    <w:rsid w:val="001F0E02"/>
    <w:rsid w:val="001F1468"/>
    <w:rsid w:val="001F1D7D"/>
    <w:rsid w:val="001F2006"/>
    <w:rsid w:val="001F2736"/>
    <w:rsid w:val="001F3065"/>
    <w:rsid w:val="001F3D47"/>
    <w:rsid w:val="001F4C76"/>
    <w:rsid w:val="002014F8"/>
    <w:rsid w:val="0020161E"/>
    <w:rsid w:val="00203016"/>
    <w:rsid w:val="00203562"/>
    <w:rsid w:val="00203EED"/>
    <w:rsid w:val="0020468E"/>
    <w:rsid w:val="0020576F"/>
    <w:rsid w:val="00211B52"/>
    <w:rsid w:val="0021289D"/>
    <w:rsid w:val="002132E7"/>
    <w:rsid w:val="0021549E"/>
    <w:rsid w:val="002154C5"/>
    <w:rsid w:val="00216006"/>
    <w:rsid w:val="00217761"/>
    <w:rsid w:val="00217F71"/>
    <w:rsid w:val="00220BDF"/>
    <w:rsid w:val="002212A2"/>
    <w:rsid w:val="00222C11"/>
    <w:rsid w:val="00222E0D"/>
    <w:rsid w:val="00226955"/>
    <w:rsid w:val="00226B8D"/>
    <w:rsid w:val="00230941"/>
    <w:rsid w:val="00232B2B"/>
    <w:rsid w:val="00233CFB"/>
    <w:rsid w:val="00234F2B"/>
    <w:rsid w:val="00237CB2"/>
    <w:rsid w:val="0024035B"/>
    <w:rsid w:val="0024044A"/>
    <w:rsid w:val="002408EF"/>
    <w:rsid w:val="00242269"/>
    <w:rsid w:val="00242377"/>
    <w:rsid w:val="0024724D"/>
    <w:rsid w:val="002477A8"/>
    <w:rsid w:val="00247B01"/>
    <w:rsid w:val="00251006"/>
    <w:rsid w:val="002519BA"/>
    <w:rsid w:val="002525BA"/>
    <w:rsid w:val="00253ED8"/>
    <w:rsid w:val="00254162"/>
    <w:rsid w:val="00256E6F"/>
    <w:rsid w:val="00261E47"/>
    <w:rsid w:val="002626D9"/>
    <w:rsid w:val="00262999"/>
    <w:rsid w:val="002643D4"/>
    <w:rsid w:val="00267982"/>
    <w:rsid w:val="00270355"/>
    <w:rsid w:val="002703D3"/>
    <w:rsid w:val="0027161B"/>
    <w:rsid w:val="00272C15"/>
    <w:rsid w:val="002730D9"/>
    <w:rsid w:val="002764FE"/>
    <w:rsid w:val="0028093B"/>
    <w:rsid w:val="00283B65"/>
    <w:rsid w:val="00283DBE"/>
    <w:rsid w:val="00284235"/>
    <w:rsid w:val="0028437A"/>
    <w:rsid w:val="00286548"/>
    <w:rsid w:val="002867E9"/>
    <w:rsid w:val="002874CF"/>
    <w:rsid w:val="002902E4"/>
    <w:rsid w:val="002909E6"/>
    <w:rsid w:val="00290DB2"/>
    <w:rsid w:val="0029141A"/>
    <w:rsid w:val="002929E8"/>
    <w:rsid w:val="00292DDE"/>
    <w:rsid w:val="002934D0"/>
    <w:rsid w:val="0029486F"/>
    <w:rsid w:val="002949BB"/>
    <w:rsid w:val="00294DA0"/>
    <w:rsid w:val="00295304"/>
    <w:rsid w:val="002A00D1"/>
    <w:rsid w:val="002A0BEE"/>
    <w:rsid w:val="002A1460"/>
    <w:rsid w:val="002A2CEF"/>
    <w:rsid w:val="002A447B"/>
    <w:rsid w:val="002A46ED"/>
    <w:rsid w:val="002A4E4A"/>
    <w:rsid w:val="002A4EF0"/>
    <w:rsid w:val="002A61BB"/>
    <w:rsid w:val="002B0E03"/>
    <w:rsid w:val="002B449F"/>
    <w:rsid w:val="002B4A3B"/>
    <w:rsid w:val="002B4B0F"/>
    <w:rsid w:val="002B4CE6"/>
    <w:rsid w:val="002B5C0F"/>
    <w:rsid w:val="002B749D"/>
    <w:rsid w:val="002B7BBC"/>
    <w:rsid w:val="002C022D"/>
    <w:rsid w:val="002C17AB"/>
    <w:rsid w:val="002C41D9"/>
    <w:rsid w:val="002C4595"/>
    <w:rsid w:val="002C5BA6"/>
    <w:rsid w:val="002C6441"/>
    <w:rsid w:val="002C6577"/>
    <w:rsid w:val="002C6746"/>
    <w:rsid w:val="002C6A8C"/>
    <w:rsid w:val="002C6F78"/>
    <w:rsid w:val="002C79F5"/>
    <w:rsid w:val="002C7D51"/>
    <w:rsid w:val="002D0420"/>
    <w:rsid w:val="002D1300"/>
    <w:rsid w:val="002D1B91"/>
    <w:rsid w:val="002D263B"/>
    <w:rsid w:val="002D2983"/>
    <w:rsid w:val="002D2EB6"/>
    <w:rsid w:val="002D3F98"/>
    <w:rsid w:val="002D480D"/>
    <w:rsid w:val="002D4B67"/>
    <w:rsid w:val="002D54AE"/>
    <w:rsid w:val="002D54CA"/>
    <w:rsid w:val="002D57E5"/>
    <w:rsid w:val="002D7386"/>
    <w:rsid w:val="002E1BF6"/>
    <w:rsid w:val="002E2405"/>
    <w:rsid w:val="002E2508"/>
    <w:rsid w:val="002E281B"/>
    <w:rsid w:val="002E31CD"/>
    <w:rsid w:val="002E414A"/>
    <w:rsid w:val="002E6DAC"/>
    <w:rsid w:val="002E7A86"/>
    <w:rsid w:val="002F1894"/>
    <w:rsid w:val="002F24DF"/>
    <w:rsid w:val="002F252E"/>
    <w:rsid w:val="002F2A17"/>
    <w:rsid w:val="002F2E2F"/>
    <w:rsid w:val="002F30AF"/>
    <w:rsid w:val="002F475F"/>
    <w:rsid w:val="002F54C3"/>
    <w:rsid w:val="002F7A04"/>
    <w:rsid w:val="00300505"/>
    <w:rsid w:val="00301551"/>
    <w:rsid w:val="00302CC8"/>
    <w:rsid w:val="003043BF"/>
    <w:rsid w:val="00304433"/>
    <w:rsid w:val="0030453C"/>
    <w:rsid w:val="00306D91"/>
    <w:rsid w:val="00307BAA"/>
    <w:rsid w:val="003103B5"/>
    <w:rsid w:val="00311483"/>
    <w:rsid w:val="00311F73"/>
    <w:rsid w:val="00314077"/>
    <w:rsid w:val="0031585C"/>
    <w:rsid w:val="00321010"/>
    <w:rsid w:val="00321739"/>
    <w:rsid w:val="00321BE1"/>
    <w:rsid w:val="00322762"/>
    <w:rsid w:val="0032356E"/>
    <w:rsid w:val="0032516D"/>
    <w:rsid w:val="00325296"/>
    <w:rsid w:val="00325771"/>
    <w:rsid w:val="00330203"/>
    <w:rsid w:val="00331777"/>
    <w:rsid w:val="003321B3"/>
    <w:rsid w:val="00333A36"/>
    <w:rsid w:val="00337989"/>
    <w:rsid w:val="003410DE"/>
    <w:rsid w:val="00341D77"/>
    <w:rsid w:val="0034290D"/>
    <w:rsid w:val="003436D3"/>
    <w:rsid w:val="00343CE1"/>
    <w:rsid w:val="00343F5D"/>
    <w:rsid w:val="003442E9"/>
    <w:rsid w:val="00344794"/>
    <w:rsid w:val="003447BE"/>
    <w:rsid w:val="0034556F"/>
    <w:rsid w:val="00346679"/>
    <w:rsid w:val="00351978"/>
    <w:rsid w:val="003526A9"/>
    <w:rsid w:val="003604A0"/>
    <w:rsid w:val="00360A15"/>
    <w:rsid w:val="00360A4C"/>
    <w:rsid w:val="00363EB6"/>
    <w:rsid w:val="003658A6"/>
    <w:rsid w:val="00366013"/>
    <w:rsid w:val="00366A3F"/>
    <w:rsid w:val="00366BC4"/>
    <w:rsid w:val="003671A4"/>
    <w:rsid w:val="003676D7"/>
    <w:rsid w:val="0037019E"/>
    <w:rsid w:val="0037162D"/>
    <w:rsid w:val="003753F7"/>
    <w:rsid w:val="00377CC2"/>
    <w:rsid w:val="00380B82"/>
    <w:rsid w:val="00382048"/>
    <w:rsid w:val="0038648C"/>
    <w:rsid w:val="0038648E"/>
    <w:rsid w:val="00390309"/>
    <w:rsid w:val="00391DEE"/>
    <w:rsid w:val="00393FD7"/>
    <w:rsid w:val="00394D50"/>
    <w:rsid w:val="003965AB"/>
    <w:rsid w:val="003976E6"/>
    <w:rsid w:val="0039792C"/>
    <w:rsid w:val="003979E9"/>
    <w:rsid w:val="003A079B"/>
    <w:rsid w:val="003A2230"/>
    <w:rsid w:val="003A4503"/>
    <w:rsid w:val="003A57A7"/>
    <w:rsid w:val="003A7383"/>
    <w:rsid w:val="003B0416"/>
    <w:rsid w:val="003B15D2"/>
    <w:rsid w:val="003B2ED8"/>
    <w:rsid w:val="003B369B"/>
    <w:rsid w:val="003B50F0"/>
    <w:rsid w:val="003B5A80"/>
    <w:rsid w:val="003B5D26"/>
    <w:rsid w:val="003B6468"/>
    <w:rsid w:val="003C0B56"/>
    <w:rsid w:val="003C10C6"/>
    <w:rsid w:val="003C4E49"/>
    <w:rsid w:val="003C4F3C"/>
    <w:rsid w:val="003C5DA0"/>
    <w:rsid w:val="003C61D4"/>
    <w:rsid w:val="003C6A5E"/>
    <w:rsid w:val="003C6E57"/>
    <w:rsid w:val="003D0813"/>
    <w:rsid w:val="003D1DEB"/>
    <w:rsid w:val="003D4293"/>
    <w:rsid w:val="003D504B"/>
    <w:rsid w:val="003D5B48"/>
    <w:rsid w:val="003D694C"/>
    <w:rsid w:val="003E099B"/>
    <w:rsid w:val="003E0C78"/>
    <w:rsid w:val="003E0F74"/>
    <w:rsid w:val="003E1270"/>
    <w:rsid w:val="003E18F6"/>
    <w:rsid w:val="003E1D4D"/>
    <w:rsid w:val="003E3716"/>
    <w:rsid w:val="003E486D"/>
    <w:rsid w:val="003E697A"/>
    <w:rsid w:val="003E73F6"/>
    <w:rsid w:val="003E7D02"/>
    <w:rsid w:val="003E7FC7"/>
    <w:rsid w:val="003F0187"/>
    <w:rsid w:val="003F208C"/>
    <w:rsid w:val="003F4DA5"/>
    <w:rsid w:val="003F55D8"/>
    <w:rsid w:val="003F55F5"/>
    <w:rsid w:val="003F6C0E"/>
    <w:rsid w:val="003F7BE3"/>
    <w:rsid w:val="00401390"/>
    <w:rsid w:val="00401A61"/>
    <w:rsid w:val="00402FCD"/>
    <w:rsid w:val="00404174"/>
    <w:rsid w:val="00404AE0"/>
    <w:rsid w:val="00404CA6"/>
    <w:rsid w:val="0040795D"/>
    <w:rsid w:val="0041027A"/>
    <w:rsid w:val="00410B5A"/>
    <w:rsid w:val="0041118D"/>
    <w:rsid w:val="0041257F"/>
    <w:rsid w:val="00412B6B"/>
    <w:rsid w:val="00415077"/>
    <w:rsid w:val="004150EF"/>
    <w:rsid w:val="00415279"/>
    <w:rsid w:val="00417D22"/>
    <w:rsid w:val="00417EC5"/>
    <w:rsid w:val="00420B63"/>
    <w:rsid w:val="00421453"/>
    <w:rsid w:val="00422589"/>
    <w:rsid w:val="00422B9E"/>
    <w:rsid w:val="0042390A"/>
    <w:rsid w:val="0042494E"/>
    <w:rsid w:val="00424DC3"/>
    <w:rsid w:val="004258A7"/>
    <w:rsid w:val="004262F7"/>
    <w:rsid w:val="004266F5"/>
    <w:rsid w:val="0042771E"/>
    <w:rsid w:val="00427F07"/>
    <w:rsid w:val="00430309"/>
    <w:rsid w:val="00431348"/>
    <w:rsid w:val="004314EA"/>
    <w:rsid w:val="00432C4D"/>
    <w:rsid w:val="00433165"/>
    <w:rsid w:val="00433910"/>
    <w:rsid w:val="00434335"/>
    <w:rsid w:val="00434686"/>
    <w:rsid w:val="00434E2F"/>
    <w:rsid w:val="004378E0"/>
    <w:rsid w:val="00437F26"/>
    <w:rsid w:val="00440306"/>
    <w:rsid w:val="0044216F"/>
    <w:rsid w:val="004438EF"/>
    <w:rsid w:val="0044450F"/>
    <w:rsid w:val="00445991"/>
    <w:rsid w:val="00451457"/>
    <w:rsid w:val="004529BD"/>
    <w:rsid w:val="00452CAC"/>
    <w:rsid w:val="0045460F"/>
    <w:rsid w:val="0045505E"/>
    <w:rsid w:val="0045564D"/>
    <w:rsid w:val="004564D9"/>
    <w:rsid w:val="0046323A"/>
    <w:rsid w:val="00465F31"/>
    <w:rsid w:val="00471C7E"/>
    <w:rsid w:val="00473D8D"/>
    <w:rsid w:val="0047458A"/>
    <w:rsid w:val="004746EE"/>
    <w:rsid w:val="00476641"/>
    <w:rsid w:val="004767BA"/>
    <w:rsid w:val="00477FF8"/>
    <w:rsid w:val="00484089"/>
    <w:rsid w:val="00484A75"/>
    <w:rsid w:val="00484BDB"/>
    <w:rsid w:val="004855BB"/>
    <w:rsid w:val="00486ABF"/>
    <w:rsid w:val="004871D5"/>
    <w:rsid w:val="00490009"/>
    <w:rsid w:val="00491AD9"/>
    <w:rsid w:val="004941A9"/>
    <w:rsid w:val="00494A58"/>
    <w:rsid w:val="00495623"/>
    <w:rsid w:val="0049733A"/>
    <w:rsid w:val="004A02A2"/>
    <w:rsid w:val="004A25B4"/>
    <w:rsid w:val="004A25EB"/>
    <w:rsid w:val="004A3FB6"/>
    <w:rsid w:val="004A53A9"/>
    <w:rsid w:val="004A5FB0"/>
    <w:rsid w:val="004A77B3"/>
    <w:rsid w:val="004B051B"/>
    <w:rsid w:val="004B1322"/>
    <w:rsid w:val="004B132F"/>
    <w:rsid w:val="004B14A5"/>
    <w:rsid w:val="004B1581"/>
    <w:rsid w:val="004B1F80"/>
    <w:rsid w:val="004B28C4"/>
    <w:rsid w:val="004B3902"/>
    <w:rsid w:val="004B3957"/>
    <w:rsid w:val="004B44F7"/>
    <w:rsid w:val="004B4CB7"/>
    <w:rsid w:val="004B5B3F"/>
    <w:rsid w:val="004B6DEE"/>
    <w:rsid w:val="004B7FEF"/>
    <w:rsid w:val="004C0647"/>
    <w:rsid w:val="004C1380"/>
    <w:rsid w:val="004C1B00"/>
    <w:rsid w:val="004C1C61"/>
    <w:rsid w:val="004C2F63"/>
    <w:rsid w:val="004C30FD"/>
    <w:rsid w:val="004C345D"/>
    <w:rsid w:val="004C397B"/>
    <w:rsid w:val="004C493B"/>
    <w:rsid w:val="004C677B"/>
    <w:rsid w:val="004C7162"/>
    <w:rsid w:val="004D0332"/>
    <w:rsid w:val="004D369E"/>
    <w:rsid w:val="004D3887"/>
    <w:rsid w:val="004D410F"/>
    <w:rsid w:val="004D42D7"/>
    <w:rsid w:val="004D57A3"/>
    <w:rsid w:val="004D6445"/>
    <w:rsid w:val="004D6C44"/>
    <w:rsid w:val="004E00D8"/>
    <w:rsid w:val="004E06E0"/>
    <w:rsid w:val="004E10DA"/>
    <w:rsid w:val="004E174F"/>
    <w:rsid w:val="004E2F80"/>
    <w:rsid w:val="004E35F6"/>
    <w:rsid w:val="004E37C1"/>
    <w:rsid w:val="004E3AE5"/>
    <w:rsid w:val="004E3D7B"/>
    <w:rsid w:val="004E668A"/>
    <w:rsid w:val="004F0335"/>
    <w:rsid w:val="004F0411"/>
    <w:rsid w:val="004F07AD"/>
    <w:rsid w:val="004F0DB0"/>
    <w:rsid w:val="004F17BA"/>
    <w:rsid w:val="004F2B5F"/>
    <w:rsid w:val="004F3245"/>
    <w:rsid w:val="004F3786"/>
    <w:rsid w:val="004F3E3D"/>
    <w:rsid w:val="004F62B6"/>
    <w:rsid w:val="004F68CB"/>
    <w:rsid w:val="004F7975"/>
    <w:rsid w:val="004F7C7C"/>
    <w:rsid w:val="00500F4B"/>
    <w:rsid w:val="0050148B"/>
    <w:rsid w:val="00501B31"/>
    <w:rsid w:val="00502077"/>
    <w:rsid w:val="00502961"/>
    <w:rsid w:val="00502B2C"/>
    <w:rsid w:val="0050385A"/>
    <w:rsid w:val="00505D27"/>
    <w:rsid w:val="00507790"/>
    <w:rsid w:val="00507CD0"/>
    <w:rsid w:val="00507F79"/>
    <w:rsid w:val="00510464"/>
    <w:rsid w:val="0051186D"/>
    <w:rsid w:val="0051256F"/>
    <w:rsid w:val="0051257D"/>
    <w:rsid w:val="00513DCA"/>
    <w:rsid w:val="00515818"/>
    <w:rsid w:val="00516917"/>
    <w:rsid w:val="00516974"/>
    <w:rsid w:val="00516D77"/>
    <w:rsid w:val="00520648"/>
    <w:rsid w:val="005209B9"/>
    <w:rsid w:val="005212FB"/>
    <w:rsid w:val="00521EA3"/>
    <w:rsid w:val="00522156"/>
    <w:rsid w:val="00522480"/>
    <w:rsid w:val="005225C1"/>
    <w:rsid w:val="00523670"/>
    <w:rsid w:val="005248E7"/>
    <w:rsid w:val="00524F4B"/>
    <w:rsid w:val="005265A0"/>
    <w:rsid w:val="00526CE1"/>
    <w:rsid w:val="00527D01"/>
    <w:rsid w:val="005326DE"/>
    <w:rsid w:val="00532D90"/>
    <w:rsid w:val="0053371E"/>
    <w:rsid w:val="00533FF9"/>
    <w:rsid w:val="00534586"/>
    <w:rsid w:val="00534C30"/>
    <w:rsid w:val="00537B2A"/>
    <w:rsid w:val="005408CE"/>
    <w:rsid w:val="005410DB"/>
    <w:rsid w:val="00543739"/>
    <w:rsid w:val="00551BF5"/>
    <w:rsid w:val="00552239"/>
    <w:rsid w:val="005527E2"/>
    <w:rsid w:val="00553770"/>
    <w:rsid w:val="00553F6A"/>
    <w:rsid w:val="0055415A"/>
    <w:rsid w:val="0055486F"/>
    <w:rsid w:val="00556661"/>
    <w:rsid w:val="0055667D"/>
    <w:rsid w:val="005567EE"/>
    <w:rsid w:val="00556E4B"/>
    <w:rsid w:val="0055763E"/>
    <w:rsid w:val="005603C1"/>
    <w:rsid w:val="00560407"/>
    <w:rsid w:val="00562F16"/>
    <w:rsid w:val="00563343"/>
    <w:rsid w:val="005640FB"/>
    <w:rsid w:val="00564D6B"/>
    <w:rsid w:val="00564E28"/>
    <w:rsid w:val="0056567F"/>
    <w:rsid w:val="005665DA"/>
    <w:rsid w:val="00566EE7"/>
    <w:rsid w:val="00571C08"/>
    <w:rsid w:val="005734EC"/>
    <w:rsid w:val="005753BD"/>
    <w:rsid w:val="00581383"/>
    <w:rsid w:val="00581E1F"/>
    <w:rsid w:val="00582701"/>
    <w:rsid w:val="00583CCB"/>
    <w:rsid w:val="00583CFE"/>
    <w:rsid w:val="005842B9"/>
    <w:rsid w:val="00585A0E"/>
    <w:rsid w:val="005867E3"/>
    <w:rsid w:val="00590049"/>
    <w:rsid w:val="0059023E"/>
    <w:rsid w:val="00591383"/>
    <w:rsid w:val="00591481"/>
    <w:rsid w:val="005914B3"/>
    <w:rsid w:val="005939DD"/>
    <w:rsid w:val="00595D15"/>
    <w:rsid w:val="005A1DFF"/>
    <w:rsid w:val="005A24F1"/>
    <w:rsid w:val="005A3BCF"/>
    <w:rsid w:val="005A3C55"/>
    <w:rsid w:val="005A6435"/>
    <w:rsid w:val="005A7214"/>
    <w:rsid w:val="005A739E"/>
    <w:rsid w:val="005A789A"/>
    <w:rsid w:val="005B1D63"/>
    <w:rsid w:val="005B229E"/>
    <w:rsid w:val="005B2953"/>
    <w:rsid w:val="005B2C10"/>
    <w:rsid w:val="005B393D"/>
    <w:rsid w:val="005B4524"/>
    <w:rsid w:val="005B516E"/>
    <w:rsid w:val="005B595F"/>
    <w:rsid w:val="005B69D4"/>
    <w:rsid w:val="005C2A63"/>
    <w:rsid w:val="005C3820"/>
    <w:rsid w:val="005C3B81"/>
    <w:rsid w:val="005C4629"/>
    <w:rsid w:val="005C5065"/>
    <w:rsid w:val="005C68A2"/>
    <w:rsid w:val="005D008A"/>
    <w:rsid w:val="005D1A96"/>
    <w:rsid w:val="005D1F7D"/>
    <w:rsid w:val="005D242D"/>
    <w:rsid w:val="005D4428"/>
    <w:rsid w:val="005D63FA"/>
    <w:rsid w:val="005D716A"/>
    <w:rsid w:val="005E0BF8"/>
    <w:rsid w:val="005E3385"/>
    <w:rsid w:val="005E7800"/>
    <w:rsid w:val="005E7C02"/>
    <w:rsid w:val="005F0166"/>
    <w:rsid w:val="005F0812"/>
    <w:rsid w:val="005F168E"/>
    <w:rsid w:val="005F1F6C"/>
    <w:rsid w:val="005F28A9"/>
    <w:rsid w:val="005F3ADF"/>
    <w:rsid w:val="005F51CA"/>
    <w:rsid w:val="006007AC"/>
    <w:rsid w:val="006043DA"/>
    <w:rsid w:val="006044E0"/>
    <w:rsid w:val="00604C83"/>
    <w:rsid w:val="006059EE"/>
    <w:rsid w:val="00606E7D"/>
    <w:rsid w:val="00610617"/>
    <w:rsid w:val="00610C9F"/>
    <w:rsid w:val="00611152"/>
    <w:rsid w:val="00614781"/>
    <w:rsid w:val="00614F2C"/>
    <w:rsid w:val="00615659"/>
    <w:rsid w:val="00621BFA"/>
    <w:rsid w:val="00623D61"/>
    <w:rsid w:val="00624930"/>
    <w:rsid w:val="00625EE1"/>
    <w:rsid w:val="00626C07"/>
    <w:rsid w:val="006274DC"/>
    <w:rsid w:val="00630C2E"/>
    <w:rsid w:val="00631399"/>
    <w:rsid w:val="0063522D"/>
    <w:rsid w:val="006355EC"/>
    <w:rsid w:val="00636B01"/>
    <w:rsid w:val="00640428"/>
    <w:rsid w:val="00641599"/>
    <w:rsid w:val="00642052"/>
    <w:rsid w:val="0064205F"/>
    <w:rsid w:val="006423FB"/>
    <w:rsid w:val="00642A09"/>
    <w:rsid w:val="0064327D"/>
    <w:rsid w:val="0064467F"/>
    <w:rsid w:val="006451C7"/>
    <w:rsid w:val="00645E16"/>
    <w:rsid w:val="00645F50"/>
    <w:rsid w:val="00646227"/>
    <w:rsid w:val="006469B4"/>
    <w:rsid w:val="00647AB5"/>
    <w:rsid w:val="00647C4A"/>
    <w:rsid w:val="00650C5A"/>
    <w:rsid w:val="006513CD"/>
    <w:rsid w:val="006529F7"/>
    <w:rsid w:val="00652D4D"/>
    <w:rsid w:val="0065720A"/>
    <w:rsid w:val="00657E8C"/>
    <w:rsid w:val="006602D7"/>
    <w:rsid w:val="0066201C"/>
    <w:rsid w:val="006665B4"/>
    <w:rsid w:val="0066793F"/>
    <w:rsid w:val="00667940"/>
    <w:rsid w:val="006728E0"/>
    <w:rsid w:val="00672E1E"/>
    <w:rsid w:val="00673128"/>
    <w:rsid w:val="00673262"/>
    <w:rsid w:val="0067399C"/>
    <w:rsid w:val="00673E24"/>
    <w:rsid w:val="006742C1"/>
    <w:rsid w:val="0067734C"/>
    <w:rsid w:val="00677DCE"/>
    <w:rsid w:val="0068015D"/>
    <w:rsid w:val="006805F8"/>
    <w:rsid w:val="00681D79"/>
    <w:rsid w:val="00682337"/>
    <w:rsid w:val="00682AE6"/>
    <w:rsid w:val="00684675"/>
    <w:rsid w:val="00687A08"/>
    <w:rsid w:val="00687DC1"/>
    <w:rsid w:val="00690362"/>
    <w:rsid w:val="006914D9"/>
    <w:rsid w:val="00695F66"/>
    <w:rsid w:val="00697E76"/>
    <w:rsid w:val="006A0AC5"/>
    <w:rsid w:val="006A17AD"/>
    <w:rsid w:val="006A1821"/>
    <w:rsid w:val="006A1AC8"/>
    <w:rsid w:val="006A2814"/>
    <w:rsid w:val="006A3C84"/>
    <w:rsid w:val="006A3F41"/>
    <w:rsid w:val="006A4A5C"/>
    <w:rsid w:val="006A6B9F"/>
    <w:rsid w:val="006A7877"/>
    <w:rsid w:val="006B03BC"/>
    <w:rsid w:val="006B0A4F"/>
    <w:rsid w:val="006B168B"/>
    <w:rsid w:val="006B2F68"/>
    <w:rsid w:val="006B35A9"/>
    <w:rsid w:val="006B502F"/>
    <w:rsid w:val="006B56AD"/>
    <w:rsid w:val="006B570D"/>
    <w:rsid w:val="006B6187"/>
    <w:rsid w:val="006B639F"/>
    <w:rsid w:val="006B645C"/>
    <w:rsid w:val="006B7B67"/>
    <w:rsid w:val="006C0FCB"/>
    <w:rsid w:val="006C1AFF"/>
    <w:rsid w:val="006C22DC"/>
    <w:rsid w:val="006C323D"/>
    <w:rsid w:val="006C3FF4"/>
    <w:rsid w:val="006C6FA0"/>
    <w:rsid w:val="006C75A7"/>
    <w:rsid w:val="006D1BED"/>
    <w:rsid w:val="006D2D19"/>
    <w:rsid w:val="006D3109"/>
    <w:rsid w:val="006D45AE"/>
    <w:rsid w:val="006D4E62"/>
    <w:rsid w:val="006D4EB5"/>
    <w:rsid w:val="006D74A4"/>
    <w:rsid w:val="006E0812"/>
    <w:rsid w:val="006E3DA8"/>
    <w:rsid w:val="006E3FFA"/>
    <w:rsid w:val="006E59FD"/>
    <w:rsid w:val="006E5AB2"/>
    <w:rsid w:val="006E7687"/>
    <w:rsid w:val="006F0722"/>
    <w:rsid w:val="006F18FA"/>
    <w:rsid w:val="006F257F"/>
    <w:rsid w:val="006F3BF7"/>
    <w:rsid w:val="006F5C9C"/>
    <w:rsid w:val="006F77A6"/>
    <w:rsid w:val="00700B87"/>
    <w:rsid w:val="0070239A"/>
    <w:rsid w:val="00704FA5"/>
    <w:rsid w:val="00705A2C"/>
    <w:rsid w:val="00706AA4"/>
    <w:rsid w:val="00707ED2"/>
    <w:rsid w:val="0071021E"/>
    <w:rsid w:val="00710F41"/>
    <w:rsid w:val="007113C7"/>
    <w:rsid w:val="00711E94"/>
    <w:rsid w:val="00711FB7"/>
    <w:rsid w:val="00714271"/>
    <w:rsid w:val="00714669"/>
    <w:rsid w:val="00714E93"/>
    <w:rsid w:val="00715772"/>
    <w:rsid w:val="00716258"/>
    <w:rsid w:val="00720B8E"/>
    <w:rsid w:val="00720D8B"/>
    <w:rsid w:val="00721016"/>
    <w:rsid w:val="00721425"/>
    <w:rsid w:val="0072214D"/>
    <w:rsid w:val="007238A9"/>
    <w:rsid w:val="00723A22"/>
    <w:rsid w:val="00724D59"/>
    <w:rsid w:val="0072721B"/>
    <w:rsid w:val="00730C7A"/>
    <w:rsid w:val="0073126A"/>
    <w:rsid w:val="00731776"/>
    <w:rsid w:val="00732A74"/>
    <w:rsid w:val="00733059"/>
    <w:rsid w:val="0073324C"/>
    <w:rsid w:val="00734967"/>
    <w:rsid w:val="00735BAF"/>
    <w:rsid w:val="007361AF"/>
    <w:rsid w:val="007367AF"/>
    <w:rsid w:val="007371F6"/>
    <w:rsid w:val="007379FF"/>
    <w:rsid w:val="00741EB7"/>
    <w:rsid w:val="00742755"/>
    <w:rsid w:val="00742961"/>
    <w:rsid w:val="00743BA1"/>
    <w:rsid w:val="007447DB"/>
    <w:rsid w:val="00746565"/>
    <w:rsid w:val="00746FAC"/>
    <w:rsid w:val="007476B6"/>
    <w:rsid w:val="0075075E"/>
    <w:rsid w:val="00751BB3"/>
    <w:rsid w:val="007556C3"/>
    <w:rsid w:val="00757EBE"/>
    <w:rsid w:val="00761BFE"/>
    <w:rsid w:val="00761FE2"/>
    <w:rsid w:val="007621E9"/>
    <w:rsid w:val="007627E0"/>
    <w:rsid w:val="00765D83"/>
    <w:rsid w:val="007664C8"/>
    <w:rsid w:val="00766DCB"/>
    <w:rsid w:val="0076727E"/>
    <w:rsid w:val="00771281"/>
    <w:rsid w:val="00773E80"/>
    <w:rsid w:val="00775163"/>
    <w:rsid w:val="00775201"/>
    <w:rsid w:val="00775869"/>
    <w:rsid w:val="0077661E"/>
    <w:rsid w:val="0078201B"/>
    <w:rsid w:val="00783E59"/>
    <w:rsid w:val="007843C3"/>
    <w:rsid w:val="007849E5"/>
    <w:rsid w:val="00786684"/>
    <w:rsid w:val="00786856"/>
    <w:rsid w:val="00790494"/>
    <w:rsid w:val="00791112"/>
    <w:rsid w:val="007914DC"/>
    <w:rsid w:val="00791683"/>
    <w:rsid w:val="00793697"/>
    <w:rsid w:val="007947D7"/>
    <w:rsid w:val="00796360"/>
    <w:rsid w:val="0079654A"/>
    <w:rsid w:val="0079674E"/>
    <w:rsid w:val="00797693"/>
    <w:rsid w:val="0079790C"/>
    <w:rsid w:val="00797ED2"/>
    <w:rsid w:val="007A02BE"/>
    <w:rsid w:val="007A17BB"/>
    <w:rsid w:val="007A2A34"/>
    <w:rsid w:val="007A33DB"/>
    <w:rsid w:val="007A498B"/>
    <w:rsid w:val="007A5A63"/>
    <w:rsid w:val="007A6875"/>
    <w:rsid w:val="007A7452"/>
    <w:rsid w:val="007B06DD"/>
    <w:rsid w:val="007B185F"/>
    <w:rsid w:val="007B2613"/>
    <w:rsid w:val="007B26B5"/>
    <w:rsid w:val="007B2A83"/>
    <w:rsid w:val="007B2C9B"/>
    <w:rsid w:val="007B304B"/>
    <w:rsid w:val="007B42CD"/>
    <w:rsid w:val="007B6117"/>
    <w:rsid w:val="007B7D68"/>
    <w:rsid w:val="007B7E4F"/>
    <w:rsid w:val="007C1277"/>
    <w:rsid w:val="007C12C6"/>
    <w:rsid w:val="007C1CD7"/>
    <w:rsid w:val="007C21A4"/>
    <w:rsid w:val="007C3AB2"/>
    <w:rsid w:val="007C42A7"/>
    <w:rsid w:val="007C4467"/>
    <w:rsid w:val="007C4794"/>
    <w:rsid w:val="007C5246"/>
    <w:rsid w:val="007C7E32"/>
    <w:rsid w:val="007D01E9"/>
    <w:rsid w:val="007D1FAB"/>
    <w:rsid w:val="007D5620"/>
    <w:rsid w:val="007D562A"/>
    <w:rsid w:val="007D6582"/>
    <w:rsid w:val="007D6DCE"/>
    <w:rsid w:val="007D7B7B"/>
    <w:rsid w:val="007E0092"/>
    <w:rsid w:val="007E00A9"/>
    <w:rsid w:val="007E039D"/>
    <w:rsid w:val="007E047C"/>
    <w:rsid w:val="007E1B38"/>
    <w:rsid w:val="007E3B4D"/>
    <w:rsid w:val="007E6F24"/>
    <w:rsid w:val="007F0BA7"/>
    <w:rsid w:val="007F1833"/>
    <w:rsid w:val="007F3583"/>
    <w:rsid w:val="007F3DDA"/>
    <w:rsid w:val="007F406D"/>
    <w:rsid w:val="007F47ED"/>
    <w:rsid w:val="007F4A19"/>
    <w:rsid w:val="007F58C7"/>
    <w:rsid w:val="007F5E35"/>
    <w:rsid w:val="007F65EE"/>
    <w:rsid w:val="007F70B1"/>
    <w:rsid w:val="007F7EA4"/>
    <w:rsid w:val="00801A38"/>
    <w:rsid w:val="00801E98"/>
    <w:rsid w:val="00802954"/>
    <w:rsid w:val="00802C30"/>
    <w:rsid w:val="0080372E"/>
    <w:rsid w:val="00804572"/>
    <w:rsid w:val="00805288"/>
    <w:rsid w:val="008059F3"/>
    <w:rsid w:val="0080626E"/>
    <w:rsid w:val="0080675D"/>
    <w:rsid w:val="008073D0"/>
    <w:rsid w:val="00807A87"/>
    <w:rsid w:val="0081155B"/>
    <w:rsid w:val="00813999"/>
    <w:rsid w:val="00813EFA"/>
    <w:rsid w:val="00815B11"/>
    <w:rsid w:val="0081657F"/>
    <w:rsid w:val="00816A29"/>
    <w:rsid w:val="00820283"/>
    <w:rsid w:val="008224AA"/>
    <w:rsid w:val="00824DA4"/>
    <w:rsid w:val="00825045"/>
    <w:rsid w:val="0082636F"/>
    <w:rsid w:val="00827C02"/>
    <w:rsid w:val="00827C2A"/>
    <w:rsid w:val="008311BE"/>
    <w:rsid w:val="008314B9"/>
    <w:rsid w:val="008315C6"/>
    <w:rsid w:val="00833612"/>
    <w:rsid w:val="008352B1"/>
    <w:rsid w:val="00837FF7"/>
    <w:rsid w:val="00841484"/>
    <w:rsid w:val="00842F78"/>
    <w:rsid w:val="00850155"/>
    <w:rsid w:val="00851583"/>
    <w:rsid w:val="0085158E"/>
    <w:rsid w:val="00851625"/>
    <w:rsid w:val="008519D0"/>
    <w:rsid w:val="008519D7"/>
    <w:rsid w:val="00852ECD"/>
    <w:rsid w:val="0085514C"/>
    <w:rsid w:val="008557A2"/>
    <w:rsid w:val="00857126"/>
    <w:rsid w:val="00857E04"/>
    <w:rsid w:val="008605B7"/>
    <w:rsid w:val="00861451"/>
    <w:rsid w:val="00861E34"/>
    <w:rsid w:val="0086236D"/>
    <w:rsid w:val="00862FBB"/>
    <w:rsid w:val="00863D43"/>
    <w:rsid w:val="00865432"/>
    <w:rsid w:val="00865666"/>
    <w:rsid w:val="00865F5B"/>
    <w:rsid w:val="00866165"/>
    <w:rsid w:val="008669ED"/>
    <w:rsid w:val="00867965"/>
    <w:rsid w:val="00867C5F"/>
    <w:rsid w:val="0087038A"/>
    <w:rsid w:val="00870B23"/>
    <w:rsid w:val="00870FEC"/>
    <w:rsid w:val="008710A1"/>
    <w:rsid w:val="00871728"/>
    <w:rsid w:val="00871C16"/>
    <w:rsid w:val="00873472"/>
    <w:rsid w:val="0087559F"/>
    <w:rsid w:val="00876537"/>
    <w:rsid w:val="00881595"/>
    <w:rsid w:val="00881779"/>
    <w:rsid w:val="008827D0"/>
    <w:rsid w:val="00885568"/>
    <w:rsid w:val="00885E13"/>
    <w:rsid w:val="00887C5A"/>
    <w:rsid w:val="0089009C"/>
    <w:rsid w:val="00892BC9"/>
    <w:rsid w:val="00893C8A"/>
    <w:rsid w:val="00894711"/>
    <w:rsid w:val="008948BD"/>
    <w:rsid w:val="00895A00"/>
    <w:rsid w:val="008A1B5B"/>
    <w:rsid w:val="008A4099"/>
    <w:rsid w:val="008A4132"/>
    <w:rsid w:val="008A47A2"/>
    <w:rsid w:val="008A592B"/>
    <w:rsid w:val="008A7E89"/>
    <w:rsid w:val="008B0AEF"/>
    <w:rsid w:val="008B2544"/>
    <w:rsid w:val="008B258D"/>
    <w:rsid w:val="008B4B70"/>
    <w:rsid w:val="008B61AB"/>
    <w:rsid w:val="008B680B"/>
    <w:rsid w:val="008C0987"/>
    <w:rsid w:val="008C14D7"/>
    <w:rsid w:val="008C2164"/>
    <w:rsid w:val="008C65D5"/>
    <w:rsid w:val="008D0216"/>
    <w:rsid w:val="008D11C0"/>
    <w:rsid w:val="008D1609"/>
    <w:rsid w:val="008D3DA3"/>
    <w:rsid w:val="008D5147"/>
    <w:rsid w:val="008E0A83"/>
    <w:rsid w:val="008E2A3D"/>
    <w:rsid w:val="008E2C23"/>
    <w:rsid w:val="008E3B64"/>
    <w:rsid w:val="008E52D3"/>
    <w:rsid w:val="008E5515"/>
    <w:rsid w:val="008F19F4"/>
    <w:rsid w:val="008F1B70"/>
    <w:rsid w:val="008F27EA"/>
    <w:rsid w:val="008F3375"/>
    <w:rsid w:val="009015EC"/>
    <w:rsid w:val="00901CEA"/>
    <w:rsid w:val="009025D6"/>
    <w:rsid w:val="009025FB"/>
    <w:rsid w:val="00902865"/>
    <w:rsid w:val="009031ED"/>
    <w:rsid w:val="009036DB"/>
    <w:rsid w:val="00903A44"/>
    <w:rsid w:val="00904136"/>
    <w:rsid w:val="00905067"/>
    <w:rsid w:val="00906BAB"/>
    <w:rsid w:val="0090765B"/>
    <w:rsid w:val="00911B5C"/>
    <w:rsid w:val="0091214B"/>
    <w:rsid w:val="009130A1"/>
    <w:rsid w:val="009132B5"/>
    <w:rsid w:val="0091392C"/>
    <w:rsid w:val="00915BAA"/>
    <w:rsid w:val="00921034"/>
    <w:rsid w:val="0092112F"/>
    <w:rsid w:val="00921674"/>
    <w:rsid w:val="00922143"/>
    <w:rsid w:val="0092271A"/>
    <w:rsid w:val="009228FE"/>
    <w:rsid w:val="0092470E"/>
    <w:rsid w:val="0092478E"/>
    <w:rsid w:val="00924DA9"/>
    <w:rsid w:val="00926937"/>
    <w:rsid w:val="009308BC"/>
    <w:rsid w:val="00930B74"/>
    <w:rsid w:val="00931084"/>
    <w:rsid w:val="009313AD"/>
    <w:rsid w:val="0093142A"/>
    <w:rsid w:val="00931ACB"/>
    <w:rsid w:val="00932AE7"/>
    <w:rsid w:val="00934499"/>
    <w:rsid w:val="00934799"/>
    <w:rsid w:val="00935206"/>
    <w:rsid w:val="00937328"/>
    <w:rsid w:val="0094061E"/>
    <w:rsid w:val="009416C9"/>
    <w:rsid w:val="009455A9"/>
    <w:rsid w:val="009455E9"/>
    <w:rsid w:val="009466FB"/>
    <w:rsid w:val="00952228"/>
    <w:rsid w:val="0095236F"/>
    <w:rsid w:val="009562D5"/>
    <w:rsid w:val="0096166F"/>
    <w:rsid w:val="00961EEF"/>
    <w:rsid w:val="00962446"/>
    <w:rsid w:val="0096262D"/>
    <w:rsid w:val="00962D4E"/>
    <w:rsid w:val="00966602"/>
    <w:rsid w:val="0097007D"/>
    <w:rsid w:val="00970A76"/>
    <w:rsid w:val="00972475"/>
    <w:rsid w:val="00972747"/>
    <w:rsid w:val="00973F9F"/>
    <w:rsid w:val="009740A3"/>
    <w:rsid w:val="0097518C"/>
    <w:rsid w:val="0097576A"/>
    <w:rsid w:val="00976A89"/>
    <w:rsid w:val="00980765"/>
    <w:rsid w:val="0098161B"/>
    <w:rsid w:val="00983911"/>
    <w:rsid w:val="0098629F"/>
    <w:rsid w:val="00986822"/>
    <w:rsid w:val="00987E19"/>
    <w:rsid w:val="0099027D"/>
    <w:rsid w:val="00990AA2"/>
    <w:rsid w:val="00992313"/>
    <w:rsid w:val="00992A54"/>
    <w:rsid w:val="00995084"/>
    <w:rsid w:val="009A2A39"/>
    <w:rsid w:val="009A2BB0"/>
    <w:rsid w:val="009A5FF8"/>
    <w:rsid w:val="009B0822"/>
    <w:rsid w:val="009B2AAB"/>
    <w:rsid w:val="009B4388"/>
    <w:rsid w:val="009B48B2"/>
    <w:rsid w:val="009B4D09"/>
    <w:rsid w:val="009C0A5E"/>
    <w:rsid w:val="009C2B31"/>
    <w:rsid w:val="009C3B08"/>
    <w:rsid w:val="009C41EB"/>
    <w:rsid w:val="009C43AD"/>
    <w:rsid w:val="009C43D1"/>
    <w:rsid w:val="009C527D"/>
    <w:rsid w:val="009C6CF2"/>
    <w:rsid w:val="009C74AE"/>
    <w:rsid w:val="009C7530"/>
    <w:rsid w:val="009D0178"/>
    <w:rsid w:val="009D3AB1"/>
    <w:rsid w:val="009D4069"/>
    <w:rsid w:val="009D50BE"/>
    <w:rsid w:val="009D59BC"/>
    <w:rsid w:val="009D65F6"/>
    <w:rsid w:val="009E0146"/>
    <w:rsid w:val="009E090F"/>
    <w:rsid w:val="009E2855"/>
    <w:rsid w:val="009E6C2D"/>
    <w:rsid w:val="009E79CA"/>
    <w:rsid w:val="009F0082"/>
    <w:rsid w:val="009F0668"/>
    <w:rsid w:val="009F12AE"/>
    <w:rsid w:val="009F1E8B"/>
    <w:rsid w:val="009F291B"/>
    <w:rsid w:val="009F3338"/>
    <w:rsid w:val="009F42EA"/>
    <w:rsid w:val="009F4647"/>
    <w:rsid w:val="009F5ACF"/>
    <w:rsid w:val="009F6A8E"/>
    <w:rsid w:val="00A01287"/>
    <w:rsid w:val="00A02460"/>
    <w:rsid w:val="00A0328D"/>
    <w:rsid w:val="00A032F3"/>
    <w:rsid w:val="00A0405B"/>
    <w:rsid w:val="00A05A7B"/>
    <w:rsid w:val="00A10075"/>
    <w:rsid w:val="00A13830"/>
    <w:rsid w:val="00A1435C"/>
    <w:rsid w:val="00A149DB"/>
    <w:rsid w:val="00A15021"/>
    <w:rsid w:val="00A1563F"/>
    <w:rsid w:val="00A15714"/>
    <w:rsid w:val="00A1590E"/>
    <w:rsid w:val="00A1779F"/>
    <w:rsid w:val="00A213A4"/>
    <w:rsid w:val="00A237B0"/>
    <w:rsid w:val="00A24744"/>
    <w:rsid w:val="00A253C6"/>
    <w:rsid w:val="00A25683"/>
    <w:rsid w:val="00A26140"/>
    <w:rsid w:val="00A313BF"/>
    <w:rsid w:val="00A315CE"/>
    <w:rsid w:val="00A34D1B"/>
    <w:rsid w:val="00A34DD1"/>
    <w:rsid w:val="00A35C08"/>
    <w:rsid w:val="00A37A10"/>
    <w:rsid w:val="00A41595"/>
    <w:rsid w:val="00A417D7"/>
    <w:rsid w:val="00A41986"/>
    <w:rsid w:val="00A41F7E"/>
    <w:rsid w:val="00A4218B"/>
    <w:rsid w:val="00A43843"/>
    <w:rsid w:val="00A469FE"/>
    <w:rsid w:val="00A47F31"/>
    <w:rsid w:val="00A5161F"/>
    <w:rsid w:val="00A5248E"/>
    <w:rsid w:val="00A52707"/>
    <w:rsid w:val="00A53FA3"/>
    <w:rsid w:val="00A54F86"/>
    <w:rsid w:val="00A5792F"/>
    <w:rsid w:val="00A619D9"/>
    <w:rsid w:val="00A627D2"/>
    <w:rsid w:val="00A63970"/>
    <w:rsid w:val="00A64AB9"/>
    <w:rsid w:val="00A66DD6"/>
    <w:rsid w:val="00A66DF9"/>
    <w:rsid w:val="00A70044"/>
    <w:rsid w:val="00A71C37"/>
    <w:rsid w:val="00A72B81"/>
    <w:rsid w:val="00A73596"/>
    <w:rsid w:val="00A75DCB"/>
    <w:rsid w:val="00A81322"/>
    <w:rsid w:val="00A81BFC"/>
    <w:rsid w:val="00A82D83"/>
    <w:rsid w:val="00A851B5"/>
    <w:rsid w:val="00A85268"/>
    <w:rsid w:val="00A8560D"/>
    <w:rsid w:val="00A90A96"/>
    <w:rsid w:val="00A91EFA"/>
    <w:rsid w:val="00A9207A"/>
    <w:rsid w:val="00A94592"/>
    <w:rsid w:val="00AA0C57"/>
    <w:rsid w:val="00AA414A"/>
    <w:rsid w:val="00AA4985"/>
    <w:rsid w:val="00AA6787"/>
    <w:rsid w:val="00AB169D"/>
    <w:rsid w:val="00AB1E4D"/>
    <w:rsid w:val="00AB26ED"/>
    <w:rsid w:val="00AB4453"/>
    <w:rsid w:val="00AB4B0A"/>
    <w:rsid w:val="00AB5087"/>
    <w:rsid w:val="00AB533D"/>
    <w:rsid w:val="00AB5ED8"/>
    <w:rsid w:val="00AB67F8"/>
    <w:rsid w:val="00AB73E2"/>
    <w:rsid w:val="00AB788C"/>
    <w:rsid w:val="00AB7976"/>
    <w:rsid w:val="00AB7977"/>
    <w:rsid w:val="00AC1F35"/>
    <w:rsid w:val="00AC244F"/>
    <w:rsid w:val="00AC37FF"/>
    <w:rsid w:val="00AC39C2"/>
    <w:rsid w:val="00AC46AF"/>
    <w:rsid w:val="00AC52E4"/>
    <w:rsid w:val="00AC5984"/>
    <w:rsid w:val="00AD0378"/>
    <w:rsid w:val="00AD20D9"/>
    <w:rsid w:val="00AD22F7"/>
    <w:rsid w:val="00AD305D"/>
    <w:rsid w:val="00AD4758"/>
    <w:rsid w:val="00AD54E8"/>
    <w:rsid w:val="00AD5614"/>
    <w:rsid w:val="00AD5E68"/>
    <w:rsid w:val="00AD740D"/>
    <w:rsid w:val="00AE04F7"/>
    <w:rsid w:val="00AE0782"/>
    <w:rsid w:val="00AE192A"/>
    <w:rsid w:val="00AE3190"/>
    <w:rsid w:val="00AE599A"/>
    <w:rsid w:val="00AE5AE7"/>
    <w:rsid w:val="00AE6410"/>
    <w:rsid w:val="00AE79A7"/>
    <w:rsid w:val="00AE7E75"/>
    <w:rsid w:val="00AF00D3"/>
    <w:rsid w:val="00AF054B"/>
    <w:rsid w:val="00AF171B"/>
    <w:rsid w:val="00AF2622"/>
    <w:rsid w:val="00AF4AA7"/>
    <w:rsid w:val="00AF610A"/>
    <w:rsid w:val="00AF61A0"/>
    <w:rsid w:val="00AF6479"/>
    <w:rsid w:val="00B00089"/>
    <w:rsid w:val="00B017C7"/>
    <w:rsid w:val="00B0194B"/>
    <w:rsid w:val="00B030EB"/>
    <w:rsid w:val="00B032A2"/>
    <w:rsid w:val="00B0376E"/>
    <w:rsid w:val="00B044A9"/>
    <w:rsid w:val="00B045E9"/>
    <w:rsid w:val="00B04EEE"/>
    <w:rsid w:val="00B10C17"/>
    <w:rsid w:val="00B11242"/>
    <w:rsid w:val="00B12669"/>
    <w:rsid w:val="00B13286"/>
    <w:rsid w:val="00B13B17"/>
    <w:rsid w:val="00B15F5A"/>
    <w:rsid w:val="00B1724E"/>
    <w:rsid w:val="00B1772F"/>
    <w:rsid w:val="00B22D7C"/>
    <w:rsid w:val="00B23E54"/>
    <w:rsid w:val="00B263FB"/>
    <w:rsid w:val="00B267AE"/>
    <w:rsid w:val="00B26ADB"/>
    <w:rsid w:val="00B26AEB"/>
    <w:rsid w:val="00B26DBC"/>
    <w:rsid w:val="00B273BF"/>
    <w:rsid w:val="00B27D21"/>
    <w:rsid w:val="00B27E67"/>
    <w:rsid w:val="00B30AD2"/>
    <w:rsid w:val="00B30EB0"/>
    <w:rsid w:val="00B32E81"/>
    <w:rsid w:val="00B3323A"/>
    <w:rsid w:val="00B334EC"/>
    <w:rsid w:val="00B337BB"/>
    <w:rsid w:val="00B348DE"/>
    <w:rsid w:val="00B34A5D"/>
    <w:rsid w:val="00B34CDE"/>
    <w:rsid w:val="00B356DD"/>
    <w:rsid w:val="00B35CA8"/>
    <w:rsid w:val="00B36A5A"/>
    <w:rsid w:val="00B37302"/>
    <w:rsid w:val="00B37F92"/>
    <w:rsid w:val="00B4009D"/>
    <w:rsid w:val="00B41B2B"/>
    <w:rsid w:val="00B42D06"/>
    <w:rsid w:val="00B43D89"/>
    <w:rsid w:val="00B43F26"/>
    <w:rsid w:val="00B456DA"/>
    <w:rsid w:val="00B4764D"/>
    <w:rsid w:val="00B47795"/>
    <w:rsid w:val="00B47910"/>
    <w:rsid w:val="00B509EA"/>
    <w:rsid w:val="00B5178E"/>
    <w:rsid w:val="00B52435"/>
    <w:rsid w:val="00B524FA"/>
    <w:rsid w:val="00B530FC"/>
    <w:rsid w:val="00B54A0F"/>
    <w:rsid w:val="00B57C5D"/>
    <w:rsid w:val="00B60D21"/>
    <w:rsid w:val="00B60D47"/>
    <w:rsid w:val="00B6115E"/>
    <w:rsid w:val="00B61C28"/>
    <w:rsid w:val="00B6324E"/>
    <w:rsid w:val="00B632B9"/>
    <w:rsid w:val="00B63419"/>
    <w:rsid w:val="00B63F39"/>
    <w:rsid w:val="00B718FD"/>
    <w:rsid w:val="00B71D29"/>
    <w:rsid w:val="00B73934"/>
    <w:rsid w:val="00B73C03"/>
    <w:rsid w:val="00B745D9"/>
    <w:rsid w:val="00B74E69"/>
    <w:rsid w:val="00B75132"/>
    <w:rsid w:val="00B818FB"/>
    <w:rsid w:val="00B82774"/>
    <w:rsid w:val="00B839C9"/>
    <w:rsid w:val="00B84DA2"/>
    <w:rsid w:val="00B86B41"/>
    <w:rsid w:val="00B86EF9"/>
    <w:rsid w:val="00B87E41"/>
    <w:rsid w:val="00B91297"/>
    <w:rsid w:val="00B92EE1"/>
    <w:rsid w:val="00B93F83"/>
    <w:rsid w:val="00B949C7"/>
    <w:rsid w:val="00B94A5F"/>
    <w:rsid w:val="00B94F08"/>
    <w:rsid w:val="00B95C31"/>
    <w:rsid w:val="00BA14AB"/>
    <w:rsid w:val="00BA3135"/>
    <w:rsid w:val="00BA341B"/>
    <w:rsid w:val="00BA3F4F"/>
    <w:rsid w:val="00BA5B16"/>
    <w:rsid w:val="00BA775B"/>
    <w:rsid w:val="00BB17A7"/>
    <w:rsid w:val="00BB3D21"/>
    <w:rsid w:val="00BB5455"/>
    <w:rsid w:val="00BB7544"/>
    <w:rsid w:val="00BB7E68"/>
    <w:rsid w:val="00BC032A"/>
    <w:rsid w:val="00BC0739"/>
    <w:rsid w:val="00BC13E5"/>
    <w:rsid w:val="00BC14EE"/>
    <w:rsid w:val="00BC23D6"/>
    <w:rsid w:val="00BC639C"/>
    <w:rsid w:val="00BC6C9A"/>
    <w:rsid w:val="00BC6CD7"/>
    <w:rsid w:val="00BC7F74"/>
    <w:rsid w:val="00BD0BFC"/>
    <w:rsid w:val="00BD10E9"/>
    <w:rsid w:val="00BD3B11"/>
    <w:rsid w:val="00BD4ECA"/>
    <w:rsid w:val="00BD6C56"/>
    <w:rsid w:val="00BE1355"/>
    <w:rsid w:val="00BE19D0"/>
    <w:rsid w:val="00BE2C1C"/>
    <w:rsid w:val="00BE49B9"/>
    <w:rsid w:val="00BE5719"/>
    <w:rsid w:val="00BE598A"/>
    <w:rsid w:val="00BF0D4D"/>
    <w:rsid w:val="00BF14E5"/>
    <w:rsid w:val="00BF224F"/>
    <w:rsid w:val="00BF25F9"/>
    <w:rsid w:val="00BF3ABE"/>
    <w:rsid w:val="00BF4199"/>
    <w:rsid w:val="00BF59EE"/>
    <w:rsid w:val="00BF5BBE"/>
    <w:rsid w:val="00BF6AA1"/>
    <w:rsid w:val="00BF6C94"/>
    <w:rsid w:val="00BF7066"/>
    <w:rsid w:val="00C0136C"/>
    <w:rsid w:val="00C02B41"/>
    <w:rsid w:val="00C0491E"/>
    <w:rsid w:val="00C04C69"/>
    <w:rsid w:val="00C06538"/>
    <w:rsid w:val="00C06994"/>
    <w:rsid w:val="00C0799F"/>
    <w:rsid w:val="00C11711"/>
    <w:rsid w:val="00C127B4"/>
    <w:rsid w:val="00C14BBC"/>
    <w:rsid w:val="00C15C6A"/>
    <w:rsid w:val="00C20BB3"/>
    <w:rsid w:val="00C2141A"/>
    <w:rsid w:val="00C21EA9"/>
    <w:rsid w:val="00C227B3"/>
    <w:rsid w:val="00C229AD"/>
    <w:rsid w:val="00C2631F"/>
    <w:rsid w:val="00C26E47"/>
    <w:rsid w:val="00C27C97"/>
    <w:rsid w:val="00C306FE"/>
    <w:rsid w:val="00C30E00"/>
    <w:rsid w:val="00C3355B"/>
    <w:rsid w:val="00C33C36"/>
    <w:rsid w:val="00C34A61"/>
    <w:rsid w:val="00C364ED"/>
    <w:rsid w:val="00C379FE"/>
    <w:rsid w:val="00C40501"/>
    <w:rsid w:val="00C41528"/>
    <w:rsid w:val="00C41BCE"/>
    <w:rsid w:val="00C41D93"/>
    <w:rsid w:val="00C42632"/>
    <w:rsid w:val="00C43906"/>
    <w:rsid w:val="00C43C11"/>
    <w:rsid w:val="00C448B9"/>
    <w:rsid w:val="00C453A5"/>
    <w:rsid w:val="00C453F5"/>
    <w:rsid w:val="00C45CA4"/>
    <w:rsid w:val="00C45E0E"/>
    <w:rsid w:val="00C47242"/>
    <w:rsid w:val="00C51143"/>
    <w:rsid w:val="00C519BC"/>
    <w:rsid w:val="00C53243"/>
    <w:rsid w:val="00C533A5"/>
    <w:rsid w:val="00C53597"/>
    <w:rsid w:val="00C53D71"/>
    <w:rsid w:val="00C540C6"/>
    <w:rsid w:val="00C575A1"/>
    <w:rsid w:val="00C6375F"/>
    <w:rsid w:val="00C63DAA"/>
    <w:rsid w:val="00C64289"/>
    <w:rsid w:val="00C6474E"/>
    <w:rsid w:val="00C648ED"/>
    <w:rsid w:val="00C65CEB"/>
    <w:rsid w:val="00C6721E"/>
    <w:rsid w:val="00C700BB"/>
    <w:rsid w:val="00C7087B"/>
    <w:rsid w:val="00C72246"/>
    <w:rsid w:val="00C72BF8"/>
    <w:rsid w:val="00C73904"/>
    <w:rsid w:val="00C73980"/>
    <w:rsid w:val="00C747FE"/>
    <w:rsid w:val="00C75530"/>
    <w:rsid w:val="00C76670"/>
    <w:rsid w:val="00C76B38"/>
    <w:rsid w:val="00C76FC0"/>
    <w:rsid w:val="00C7747C"/>
    <w:rsid w:val="00C82317"/>
    <w:rsid w:val="00C82F90"/>
    <w:rsid w:val="00C83722"/>
    <w:rsid w:val="00C8380B"/>
    <w:rsid w:val="00C83C53"/>
    <w:rsid w:val="00C86CDD"/>
    <w:rsid w:val="00C8783A"/>
    <w:rsid w:val="00C91558"/>
    <w:rsid w:val="00C91C90"/>
    <w:rsid w:val="00C92000"/>
    <w:rsid w:val="00C92F1A"/>
    <w:rsid w:val="00C96145"/>
    <w:rsid w:val="00CA036D"/>
    <w:rsid w:val="00CA1994"/>
    <w:rsid w:val="00CA2914"/>
    <w:rsid w:val="00CA416A"/>
    <w:rsid w:val="00CA4B8F"/>
    <w:rsid w:val="00CA6A2A"/>
    <w:rsid w:val="00CA7292"/>
    <w:rsid w:val="00CB0103"/>
    <w:rsid w:val="00CB0A00"/>
    <w:rsid w:val="00CB1FD3"/>
    <w:rsid w:val="00CB2535"/>
    <w:rsid w:val="00CB2968"/>
    <w:rsid w:val="00CB31E7"/>
    <w:rsid w:val="00CB4097"/>
    <w:rsid w:val="00CB556F"/>
    <w:rsid w:val="00CB7FA7"/>
    <w:rsid w:val="00CC3DF9"/>
    <w:rsid w:val="00CC4A16"/>
    <w:rsid w:val="00CC68CF"/>
    <w:rsid w:val="00CC69E5"/>
    <w:rsid w:val="00CD0A74"/>
    <w:rsid w:val="00CD2D1E"/>
    <w:rsid w:val="00CD2E50"/>
    <w:rsid w:val="00CD392E"/>
    <w:rsid w:val="00CD4A94"/>
    <w:rsid w:val="00CD55EF"/>
    <w:rsid w:val="00CD5D51"/>
    <w:rsid w:val="00CD5ED6"/>
    <w:rsid w:val="00CD6AD8"/>
    <w:rsid w:val="00CD6B84"/>
    <w:rsid w:val="00CD71FA"/>
    <w:rsid w:val="00CD73AD"/>
    <w:rsid w:val="00CD7739"/>
    <w:rsid w:val="00CD7D85"/>
    <w:rsid w:val="00CE0B85"/>
    <w:rsid w:val="00CE0FD3"/>
    <w:rsid w:val="00CE39F3"/>
    <w:rsid w:val="00CE43EA"/>
    <w:rsid w:val="00CE582C"/>
    <w:rsid w:val="00CE5B18"/>
    <w:rsid w:val="00CE7CD2"/>
    <w:rsid w:val="00CF016D"/>
    <w:rsid w:val="00CF0DB6"/>
    <w:rsid w:val="00CF2BEB"/>
    <w:rsid w:val="00CF2D46"/>
    <w:rsid w:val="00CF5238"/>
    <w:rsid w:val="00CF614D"/>
    <w:rsid w:val="00CF6679"/>
    <w:rsid w:val="00CF759F"/>
    <w:rsid w:val="00D0222B"/>
    <w:rsid w:val="00D04BEC"/>
    <w:rsid w:val="00D075CF"/>
    <w:rsid w:val="00D1138A"/>
    <w:rsid w:val="00D116DA"/>
    <w:rsid w:val="00D11D71"/>
    <w:rsid w:val="00D13EFB"/>
    <w:rsid w:val="00D15B6A"/>
    <w:rsid w:val="00D15DC4"/>
    <w:rsid w:val="00D17A2B"/>
    <w:rsid w:val="00D2199E"/>
    <w:rsid w:val="00D21A37"/>
    <w:rsid w:val="00D21BA1"/>
    <w:rsid w:val="00D22488"/>
    <w:rsid w:val="00D23178"/>
    <w:rsid w:val="00D235B6"/>
    <w:rsid w:val="00D2367E"/>
    <w:rsid w:val="00D23AC8"/>
    <w:rsid w:val="00D23B54"/>
    <w:rsid w:val="00D24391"/>
    <w:rsid w:val="00D25DAC"/>
    <w:rsid w:val="00D26351"/>
    <w:rsid w:val="00D26695"/>
    <w:rsid w:val="00D30A4A"/>
    <w:rsid w:val="00D33AD9"/>
    <w:rsid w:val="00D34244"/>
    <w:rsid w:val="00D34C22"/>
    <w:rsid w:val="00D36443"/>
    <w:rsid w:val="00D3674F"/>
    <w:rsid w:val="00D402CF"/>
    <w:rsid w:val="00D4044F"/>
    <w:rsid w:val="00D43083"/>
    <w:rsid w:val="00D4415B"/>
    <w:rsid w:val="00D44F5F"/>
    <w:rsid w:val="00D46D37"/>
    <w:rsid w:val="00D4749C"/>
    <w:rsid w:val="00D51DB5"/>
    <w:rsid w:val="00D53CBC"/>
    <w:rsid w:val="00D54BCC"/>
    <w:rsid w:val="00D56049"/>
    <w:rsid w:val="00D56274"/>
    <w:rsid w:val="00D6026F"/>
    <w:rsid w:val="00D61C38"/>
    <w:rsid w:val="00D62F61"/>
    <w:rsid w:val="00D633B8"/>
    <w:rsid w:val="00D64E14"/>
    <w:rsid w:val="00D67E1B"/>
    <w:rsid w:val="00D722FD"/>
    <w:rsid w:val="00D72A75"/>
    <w:rsid w:val="00D72DFD"/>
    <w:rsid w:val="00D76B93"/>
    <w:rsid w:val="00D77CA8"/>
    <w:rsid w:val="00D8184A"/>
    <w:rsid w:val="00D819AC"/>
    <w:rsid w:val="00D829D6"/>
    <w:rsid w:val="00D84903"/>
    <w:rsid w:val="00D8646A"/>
    <w:rsid w:val="00D87DC4"/>
    <w:rsid w:val="00D91FC7"/>
    <w:rsid w:val="00D924FC"/>
    <w:rsid w:val="00D93B57"/>
    <w:rsid w:val="00D93D82"/>
    <w:rsid w:val="00D943EE"/>
    <w:rsid w:val="00D947FE"/>
    <w:rsid w:val="00D96419"/>
    <w:rsid w:val="00D96773"/>
    <w:rsid w:val="00D96882"/>
    <w:rsid w:val="00D97B13"/>
    <w:rsid w:val="00D97F3F"/>
    <w:rsid w:val="00DA0009"/>
    <w:rsid w:val="00DA233A"/>
    <w:rsid w:val="00DA3A8A"/>
    <w:rsid w:val="00DA5771"/>
    <w:rsid w:val="00DA7CB5"/>
    <w:rsid w:val="00DB0197"/>
    <w:rsid w:val="00DB0238"/>
    <w:rsid w:val="00DB336C"/>
    <w:rsid w:val="00DB461E"/>
    <w:rsid w:val="00DB7305"/>
    <w:rsid w:val="00DC1518"/>
    <w:rsid w:val="00DC295D"/>
    <w:rsid w:val="00DC3046"/>
    <w:rsid w:val="00DD1DCF"/>
    <w:rsid w:val="00DD2551"/>
    <w:rsid w:val="00DD36EC"/>
    <w:rsid w:val="00DD448D"/>
    <w:rsid w:val="00DD677D"/>
    <w:rsid w:val="00DD69C5"/>
    <w:rsid w:val="00DE22A0"/>
    <w:rsid w:val="00DE2B01"/>
    <w:rsid w:val="00DE32B1"/>
    <w:rsid w:val="00DE5529"/>
    <w:rsid w:val="00DE5E47"/>
    <w:rsid w:val="00DE6776"/>
    <w:rsid w:val="00DF0517"/>
    <w:rsid w:val="00DF0604"/>
    <w:rsid w:val="00DF0BAE"/>
    <w:rsid w:val="00DF27CB"/>
    <w:rsid w:val="00DF2D1A"/>
    <w:rsid w:val="00DF30E9"/>
    <w:rsid w:val="00DF31CE"/>
    <w:rsid w:val="00DF37CF"/>
    <w:rsid w:val="00DF408B"/>
    <w:rsid w:val="00DF539F"/>
    <w:rsid w:val="00DF5D12"/>
    <w:rsid w:val="00DF60AE"/>
    <w:rsid w:val="00DF789A"/>
    <w:rsid w:val="00DF7925"/>
    <w:rsid w:val="00E004C0"/>
    <w:rsid w:val="00E00E0E"/>
    <w:rsid w:val="00E019F8"/>
    <w:rsid w:val="00E01C63"/>
    <w:rsid w:val="00E029CB"/>
    <w:rsid w:val="00E029D3"/>
    <w:rsid w:val="00E02F90"/>
    <w:rsid w:val="00E03F4E"/>
    <w:rsid w:val="00E046BE"/>
    <w:rsid w:val="00E07132"/>
    <w:rsid w:val="00E105E7"/>
    <w:rsid w:val="00E11FFD"/>
    <w:rsid w:val="00E12F74"/>
    <w:rsid w:val="00E1303A"/>
    <w:rsid w:val="00E1354A"/>
    <w:rsid w:val="00E139D1"/>
    <w:rsid w:val="00E14094"/>
    <w:rsid w:val="00E152AE"/>
    <w:rsid w:val="00E157F5"/>
    <w:rsid w:val="00E15C0B"/>
    <w:rsid w:val="00E21216"/>
    <w:rsid w:val="00E23A81"/>
    <w:rsid w:val="00E24896"/>
    <w:rsid w:val="00E25141"/>
    <w:rsid w:val="00E252A8"/>
    <w:rsid w:val="00E25E9F"/>
    <w:rsid w:val="00E26DFB"/>
    <w:rsid w:val="00E27AEA"/>
    <w:rsid w:val="00E3148A"/>
    <w:rsid w:val="00E31810"/>
    <w:rsid w:val="00E31F23"/>
    <w:rsid w:val="00E33C38"/>
    <w:rsid w:val="00E33C7D"/>
    <w:rsid w:val="00E34852"/>
    <w:rsid w:val="00E37472"/>
    <w:rsid w:val="00E37736"/>
    <w:rsid w:val="00E40A08"/>
    <w:rsid w:val="00E41BEE"/>
    <w:rsid w:val="00E44792"/>
    <w:rsid w:val="00E449D5"/>
    <w:rsid w:val="00E45C57"/>
    <w:rsid w:val="00E468EC"/>
    <w:rsid w:val="00E46B56"/>
    <w:rsid w:val="00E47AC5"/>
    <w:rsid w:val="00E53FC5"/>
    <w:rsid w:val="00E545BB"/>
    <w:rsid w:val="00E54C6D"/>
    <w:rsid w:val="00E56B12"/>
    <w:rsid w:val="00E57E2A"/>
    <w:rsid w:val="00E67AFB"/>
    <w:rsid w:val="00E70A37"/>
    <w:rsid w:val="00E70B9F"/>
    <w:rsid w:val="00E70F45"/>
    <w:rsid w:val="00E7129F"/>
    <w:rsid w:val="00E71C7A"/>
    <w:rsid w:val="00E7398C"/>
    <w:rsid w:val="00E75527"/>
    <w:rsid w:val="00E764EB"/>
    <w:rsid w:val="00E76B15"/>
    <w:rsid w:val="00E77CE1"/>
    <w:rsid w:val="00E806E7"/>
    <w:rsid w:val="00E80B6F"/>
    <w:rsid w:val="00E81CF1"/>
    <w:rsid w:val="00E820A7"/>
    <w:rsid w:val="00E833D4"/>
    <w:rsid w:val="00E83735"/>
    <w:rsid w:val="00E86BFB"/>
    <w:rsid w:val="00E9108D"/>
    <w:rsid w:val="00E92422"/>
    <w:rsid w:val="00E9351D"/>
    <w:rsid w:val="00E93613"/>
    <w:rsid w:val="00E9660A"/>
    <w:rsid w:val="00E97054"/>
    <w:rsid w:val="00E97A92"/>
    <w:rsid w:val="00EA062C"/>
    <w:rsid w:val="00EA09DD"/>
    <w:rsid w:val="00EA0C07"/>
    <w:rsid w:val="00EA3984"/>
    <w:rsid w:val="00EA3D84"/>
    <w:rsid w:val="00EA535C"/>
    <w:rsid w:val="00EA56A4"/>
    <w:rsid w:val="00EA5DB9"/>
    <w:rsid w:val="00EA6A2A"/>
    <w:rsid w:val="00EA7FB4"/>
    <w:rsid w:val="00EB0BA6"/>
    <w:rsid w:val="00EB157D"/>
    <w:rsid w:val="00EB29AF"/>
    <w:rsid w:val="00EB3577"/>
    <w:rsid w:val="00EB35D7"/>
    <w:rsid w:val="00EB4307"/>
    <w:rsid w:val="00EB7DC3"/>
    <w:rsid w:val="00EB7DD8"/>
    <w:rsid w:val="00EB7E39"/>
    <w:rsid w:val="00EC0415"/>
    <w:rsid w:val="00EC0674"/>
    <w:rsid w:val="00EC2CAB"/>
    <w:rsid w:val="00EC43F2"/>
    <w:rsid w:val="00EC4CCE"/>
    <w:rsid w:val="00EC5E29"/>
    <w:rsid w:val="00EC6141"/>
    <w:rsid w:val="00ED06BD"/>
    <w:rsid w:val="00ED28D1"/>
    <w:rsid w:val="00ED3ABF"/>
    <w:rsid w:val="00ED489E"/>
    <w:rsid w:val="00ED5F6D"/>
    <w:rsid w:val="00ED64E3"/>
    <w:rsid w:val="00EE0472"/>
    <w:rsid w:val="00EE0C28"/>
    <w:rsid w:val="00EE0DE7"/>
    <w:rsid w:val="00EE56AA"/>
    <w:rsid w:val="00EE5FB0"/>
    <w:rsid w:val="00EE72B6"/>
    <w:rsid w:val="00EE73FF"/>
    <w:rsid w:val="00EE7DFE"/>
    <w:rsid w:val="00EF199D"/>
    <w:rsid w:val="00EF1B3A"/>
    <w:rsid w:val="00EF1C65"/>
    <w:rsid w:val="00EF2293"/>
    <w:rsid w:val="00EF24C6"/>
    <w:rsid w:val="00EF5966"/>
    <w:rsid w:val="00EF7335"/>
    <w:rsid w:val="00F04922"/>
    <w:rsid w:val="00F06303"/>
    <w:rsid w:val="00F07536"/>
    <w:rsid w:val="00F134AB"/>
    <w:rsid w:val="00F13BCA"/>
    <w:rsid w:val="00F13E73"/>
    <w:rsid w:val="00F14BF4"/>
    <w:rsid w:val="00F151E7"/>
    <w:rsid w:val="00F1676E"/>
    <w:rsid w:val="00F178E4"/>
    <w:rsid w:val="00F17D54"/>
    <w:rsid w:val="00F211A3"/>
    <w:rsid w:val="00F22265"/>
    <w:rsid w:val="00F23D64"/>
    <w:rsid w:val="00F2525A"/>
    <w:rsid w:val="00F2652E"/>
    <w:rsid w:val="00F26CBC"/>
    <w:rsid w:val="00F273D0"/>
    <w:rsid w:val="00F2774E"/>
    <w:rsid w:val="00F31608"/>
    <w:rsid w:val="00F320AB"/>
    <w:rsid w:val="00F330E9"/>
    <w:rsid w:val="00F3545C"/>
    <w:rsid w:val="00F36081"/>
    <w:rsid w:val="00F363C4"/>
    <w:rsid w:val="00F377E3"/>
    <w:rsid w:val="00F424B4"/>
    <w:rsid w:val="00F431E6"/>
    <w:rsid w:val="00F432F8"/>
    <w:rsid w:val="00F43A22"/>
    <w:rsid w:val="00F44693"/>
    <w:rsid w:val="00F51D31"/>
    <w:rsid w:val="00F52847"/>
    <w:rsid w:val="00F53AF4"/>
    <w:rsid w:val="00F53DC5"/>
    <w:rsid w:val="00F54C29"/>
    <w:rsid w:val="00F55944"/>
    <w:rsid w:val="00F55E24"/>
    <w:rsid w:val="00F56D47"/>
    <w:rsid w:val="00F603A7"/>
    <w:rsid w:val="00F63DD0"/>
    <w:rsid w:val="00F645C5"/>
    <w:rsid w:val="00F64ACF"/>
    <w:rsid w:val="00F656BE"/>
    <w:rsid w:val="00F65802"/>
    <w:rsid w:val="00F764DD"/>
    <w:rsid w:val="00F76D36"/>
    <w:rsid w:val="00F7798C"/>
    <w:rsid w:val="00F80D89"/>
    <w:rsid w:val="00F81769"/>
    <w:rsid w:val="00F81F85"/>
    <w:rsid w:val="00F82701"/>
    <w:rsid w:val="00F8309C"/>
    <w:rsid w:val="00F83D5E"/>
    <w:rsid w:val="00F861AA"/>
    <w:rsid w:val="00F9170C"/>
    <w:rsid w:val="00F92A53"/>
    <w:rsid w:val="00F95EAC"/>
    <w:rsid w:val="00F95FB9"/>
    <w:rsid w:val="00F969A8"/>
    <w:rsid w:val="00F96A37"/>
    <w:rsid w:val="00F96C10"/>
    <w:rsid w:val="00F9740A"/>
    <w:rsid w:val="00F976CF"/>
    <w:rsid w:val="00FA13D6"/>
    <w:rsid w:val="00FA1A8A"/>
    <w:rsid w:val="00FA1CFB"/>
    <w:rsid w:val="00FA2094"/>
    <w:rsid w:val="00FA2FBD"/>
    <w:rsid w:val="00FA42AB"/>
    <w:rsid w:val="00FA453B"/>
    <w:rsid w:val="00FA59A7"/>
    <w:rsid w:val="00FA6963"/>
    <w:rsid w:val="00FA6F62"/>
    <w:rsid w:val="00FA7D31"/>
    <w:rsid w:val="00FB0153"/>
    <w:rsid w:val="00FB0713"/>
    <w:rsid w:val="00FB23C7"/>
    <w:rsid w:val="00FB2D82"/>
    <w:rsid w:val="00FB44DF"/>
    <w:rsid w:val="00FB4632"/>
    <w:rsid w:val="00FB49AE"/>
    <w:rsid w:val="00FC1C73"/>
    <w:rsid w:val="00FC1DD5"/>
    <w:rsid w:val="00FC1FE6"/>
    <w:rsid w:val="00FC24D9"/>
    <w:rsid w:val="00FC2F33"/>
    <w:rsid w:val="00FC3B62"/>
    <w:rsid w:val="00FC4F01"/>
    <w:rsid w:val="00FC61A8"/>
    <w:rsid w:val="00FC6C84"/>
    <w:rsid w:val="00FD3BAB"/>
    <w:rsid w:val="00FD3DFD"/>
    <w:rsid w:val="00FD4AE4"/>
    <w:rsid w:val="00FD73AE"/>
    <w:rsid w:val="00FE7996"/>
    <w:rsid w:val="00FF19DD"/>
    <w:rsid w:val="00FF315A"/>
    <w:rsid w:val="00FF6523"/>
    <w:rsid w:val="00FF6F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44601"/>
  <w15:docId w15:val="{79F85E85-7AB0-5A40-8040-51EE7EA5C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7E3"/>
    <w:rPr>
      <w:lang w:eastAsia="es-ES"/>
    </w:rPr>
  </w:style>
  <w:style w:type="paragraph" w:styleId="Ttulo1">
    <w:name w:val="heading 1"/>
    <w:basedOn w:val="Normal"/>
    <w:link w:val="Ttulo1Car"/>
    <w:uiPriority w:val="9"/>
    <w:qFormat/>
    <w:locked/>
    <w:rsid w:val="00247B01"/>
    <w:pPr>
      <w:outlineLvl w:val="0"/>
    </w:pPr>
    <w:rPr>
      <w:rFonts w:ascii="Calibri" w:eastAsia="Arial" w:hAnsi="Calibri" w:cs="Arial"/>
      <w:b/>
      <w:bCs/>
      <w:sz w:val="21"/>
      <w:szCs w:val="21"/>
      <w:lang w:eastAsia="es-ES_tradnl"/>
    </w:rPr>
  </w:style>
  <w:style w:type="paragraph" w:styleId="Ttulo2">
    <w:name w:val="heading 2"/>
    <w:basedOn w:val="Normal"/>
    <w:next w:val="Normal"/>
    <w:link w:val="Ttulo2Car"/>
    <w:uiPriority w:val="9"/>
    <w:unhideWhenUsed/>
    <w:qFormat/>
    <w:locked/>
    <w:rsid w:val="00247B01"/>
    <w:pPr>
      <w:keepNext/>
      <w:keepLines/>
      <w:numPr>
        <w:ilvl w:val="1"/>
        <w:numId w:val="27"/>
      </w:numPr>
      <w:spacing w:before="360" w:after="80"/>
      <w:outlineLvl w:val="1"/>
    </w:pPr>
    <w:rPr>
      <w:rFonts w:ascii="Calibri" w:hAnsi="Calibri"/>
      <w:b/>
      <w:sz w:val="22"/>
      <w:szCs w:val="36"/>
      <w:lang w:eastAsia="es-ES_tradnl"/>
    </w:rPr>
  </w:style>
  <w:style w:type="paragraph" w:styleId="Ttulo3">
    <w:name w:val="heading 3"/>
    <w:basedOn w:val="Normal"/>
    <w:next w:val="Normal"/>
    <w:link w:val="Ttulo3Car"/>
    <w:uiPriority w:val="9"/>
    <w:semiHidden/>
    <w:unhideWhenUsed/>
    <w:qFormat/>
    <w:locked/>
    <w:rsid w:val="00247B01"/>
    <w:pPr>
      <w:keepNext/>
      <w:keepLines/>
      <w:spacing w:before="40"/>
      <w:outlineLvl w:val="2"/>
    </w:pPr>
    <w:rPr>
      <w:rFonts w:ascii="Calibri" w:eastAsia="Yu Gothic Light" w:hAnsi="Calibri"/>
      <w:b/>
      <w:szCs w:val="24"/>
      <w:lang w:eastAsia="es-CO"/>
    </w:rPr>
  </w:style>
  <w:style w:type="paragraph" w:styleId="Ttulo4">
    <w:name w:val="heading 4"/>
    <w:basedOn w:val="Normal"/>
    <w:next w:val="Normal"/>
    <w:link w:val="Ttulo4Car"/>
    <w:autoRedefine/>
    <w:uiPriority w:val="9"/>
    <w:unhideWhenUsed/>
    <w:qFormat/>
    <w:locked/>
    <w:rsid w:val="00247B01"/>
    <w:pPr>
      <w:keepNext/>
      <w:keepLines/>
      <w:numPr>
        <w:ilvl w:val="2"/>
        <w:numId w:val="27"/>
      </w:numPr>
      <w:pBdr>
        <w:top w:val="nil"/>
        <w:left w:val="nil"/>
        <w:bottom w:val="nil"/>
        <w:right w:val="nil"/>
        <w:between w:val="nil"/>
      </w:pBdr>
      <w:spacing w:before="240" w:after="40"/>
      <w:jc w:val="both"/>
      <w:outlineLvl w:val="3"/>
    </w:pPr>
    <w:rPr>
      <w:rFonts w:ascii="Arial" w:hAnsi="Arial" w:cs="Arial"/>
      <w:b/>
      <w:sz w:val="22"/>
      <w:szCs w:val="22"/>
      <w:lang w:eastAsia="es-ES_tradnl"/>
    </w:rPr>
  </w:style>
  <w:style w:type="paragraph" w:styleId="Ttulo5">
    <w:name w:val="heading 5"/>
    <w:basedOn w:val="Normal"/>
    <w:next w:val="Normal"/>
    <w:link w:val="Ttulo5Car"/>
    <w:uiPriority w:val="9"/>
    <w:semiHidden/>
    <w:unhideWhenUsed/>
    <w:qFormat/>
    <w:locked/>
    <w:rsid w:val="00247B01"/>
    <w:pPr>
      <w:keepNext/>
      <w:keepLines/>
      <w:numPr>
        <w:ilvl w:val="4"/>
        <w:numId w:val="27"/>
      </w:numPr>
      <w:spacing w:before="220" w:after="40"/>
      <w:outlineLvl w:val="4"/>
    </w:pPr>
    <w:rPr>
      <w:b/>
      <w:sz w:val="24"/>
      <w:szCs w:val="24"/>
      <w:lang w:eastAsia="es-ES_tradnl"/>
    </w:rPr>
  </w:style>
  <w:style w:type="paragraph" w:styleId="Ttulo6">
    <w:name w:val="heading 6"/>
    <w:basedOn w:val="Normal"/>
    <w:next w:val="Normal"/>
    <w:link w:val="Ttulo6Car"/>
    <w:uiPriority w:val="9"/>
    <w:semiHidden/>
    <w:unhideWhenUsed/>
    <w:qFormat/>
    <w:locked/>
    <w:rsid w:val="00247B01"/>
    <w:pPr>
      <w:keepNext/>
      <w:keepLines/>
      <w:numPr>
        <w:ilvl w:val="5"/>
        <w:numId w:val="27"/>
      </w:numPr>
      <w:tabs>
        <w:tab w:val="num" w:pos="360"/>
      </w:tabs>
      <w:spacing w:before="200" w:after="40"/>
      <w:ind w:left="0" w:firstLine="0"/>
      <w:outlineLvl w:val="5"/>
    </w:pPr>
    <w:rPr>
      <w:b/>
      <w:lang w:eastAsia="es-ES_tradnl"/>
    </w:rPr>
  </w:style>
  <w:style w:type="paragraph" w:styleId="Ttulo7">
    <w:name w:val="heading 7"/>
    <w:basedOn w:val="Normal"/>
    <w:next w:val="Normal"/>
    <w:link w:val="Ttulo7Car"/>
    <w:uiPriority w:val="9"/>
    <w:semiHidden/>
    <w:unhideWhenUsed/>
    <w:qFormat/>
    <w:locked/>
    <w:rsid w:val="00247B01"/>
    <w:pPr>
      <w:keepNext/>
      <w:keepLines/>
      <w:spacing w:before="40"/>
      <w:outlineLvl w:val="6"/>
    </w:pPr>
    <w:rPr>
      <w:rFonts w:ascii="Calibri Light" w:eastAsia="Yu Gothic Light" w:hAnsi="Calibri Light"/>
      <w:i/>
      <w:iCs/>
      <w:color w:val="1F3763"/>
      <w:sz w:val="24"/>
      <w:szCs w:val="24"/>
      <w:lang w:eastAsia="es-ES_tradnl"/>
    </w:rPr>
  </w:style>
  <w:style w:type="paragraph" w:styleId="Ttulo8">
    <w:name w:val="heading 8"/>
    <w:basedOn w:val="Normal"/>
    <w:next w:val="Normal"/>
    <w:link w:val="Ttulo8Car"/>
    <w:uiPriority w:val="9"/>
    <w:semiHidden/>
    <w:unhideWhenUsed/>
    <w:qFormat/>
    <w:locked/>
    <w:rsid w:val="00247B01"/>
    <w:pPr>
      <w:keepNext/>
      <w:keepLines/>
      <w:spacing w:before="40"/>
      <w:outlineLvl w:val="7"/>
    </w:pPr>
    <w:rPr>
      <w:rFonts w:ascii="Calibri Light" w:eastAsia="Yu Gothic Light" w:hAnsi="Calibri Light"/>
      <w:color w:val="272727"/>
      <w:sz w:val="21"/>
      <w:szCs w:val="21"/>
      <w:lang w:eastAsia="es-ES_tradnl"/>
    </w:rPr>
  </w:style>
  <w:style w:type="paragraph" w:styleId="Ttulo9">
    <w:name w:val="heading 9"/>
    <w:basedOn w:val="Normal"/>
    <w:next w:val="Normal"/>
    <w:link w:val="Ttulo9Car"/>
    <w:uiPriority w:val="9"/>
    <w:semiHidden/>
    <w:unhideWhenUsed/>
    <w:qFormat/>
    <w:locked/>
    <w:rsid w:val="00247B01"/>
    <w:pPr>
      <w:keepNext/>
      <w:keepLines/>
      <w:spacing w:before="40"/>
      <w:outlineLvl w:val="8"/>
    </w:pPr>
    <w:rPr>
      <w:rFonts w:ascii="Calibri Light" w:eastAsia="Yu Gothic Light" w:hAnsi="Calibri Light"/>
      <w:i/>
      <w:iCs/>
      <w:color w:val="272727"/>
      <w:sz w:val="21"/>
      <w:szCs w:val="21"/>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867E3"/>
    <w:pPr>
      <w:tabs>
        <w:tab w:val="center" w:pos="4252"/>
        <w:tab w:val="right" w:pos="8504"/>
      </w:tabs>
    </w:pPr>
  </w:style>
  <w:style w:type="character" w:customStyle="1" w:styleId="EncabezadoCar">
    <w:name w:val="Encabezado Car"/>
    <w:link w:val="Encabezado"/>
    <w:uiPriority w:val="99"/>
    <w:locked/>
    <w:rPr>
      <w:rFonts w:cs="Times New Roman"/>
      <w:sz w:val="20"/>
      <w:szCs w:val="20"/>
      <w:lang w:eastAsia="es-ES"/>
    </w:rPr>
  </w:style>
  <w:style w:type="paragraph" w:styleId="Piedepgina">
    <w:name w:val="footer"/>
    <w:basedOn w:val="Normal"/>
    <w:link w:val="PiedepginaCar"/>
    <w:uiPriority w:val="99"/>
    <w:rsid w:val="005867E3"/>
    <w:pPr>
      <w:tabs>
        <w:tab w:val="center" w:pos="4252"/>
        <w:tab w:val="right" w:pos="8504"/>
      </w:tabs>
    </w:pPr>
  </w:style>
  <w:style w:type="character" w:customStyle="1" w:styleId="PiedepginaCar">
    <w:name w:val="Pie de página Car"/>
    <w:link w:val="Piedepgina"/>
    <w:uiPriority w:val="99"/>
    <w:locked/>
    <w:rPr>
      <w:rFonts w:cs="Times New Roman"/>
      <w:sz w:val="20"/>
      <w:szCs w:val="20"/>
      <w:lang w:eastAsia="es-ES"/>
    </w:rPr>
  </w:style>
  <w:style w:type="character" w:styleId="Hipervnculo">
    <w:name w:val="Hyperlink"/>
    <w:uiPriority w:val="99"/>
    <w:rsid w:val="005867E3"/>
    <w:rPr>
      <w:rFonts w:cs="Times New Roman"/>
      <w:color w:val="0000FF"/>
      <w:u w:val="single"/>
    </w:rPr>
  </w:style>
  <w:style w:type="paragraph" w:styleId="Textoindependiente">
    <w:name w:val="Body Text"/>
    <w:basedOn w:val="Normal"/>
    <w:link w:val="TextoindependienteCar"/>
    <w:uiPriority w:val="99"/>
    <w:qFormat/>
    <w:rsid w:val="004B4CB7"/>
    <w:pPr>
      <w:spacing w:line="360" w:lineRule="auto"/>
      <w:jc w:val="both"/>
    </w:pPr>
    <w:rPr>
      <w:rFonts w:ascii="Arial" w:hAnsi="Arial"/>
      <w:sz w:val="24"/>
      <w:szCs w:val="24"/>
    </w:rPr>
  </w:style>
  <w:style w:type="character" w:customStyle="1" w:styleId="TextoindependienteCar">
    <w:name w:val="Texto independiente Car"/>
    <w:link w:val="Textoindependiente"/>
    <w:uiPriority w:val="99"/>
    <w:locked/>
    <w:rPr>
      <w:rFonts w:cs="Times New Roman"/>
      <w:sz w:val="20"/>
      <w:szCs w:val="20"/>
      <w:lang w:eastAsia="es-ES"/>
    </w:rPr>
  </w:style>
  <w:style w:type="paragraph" w:styleId="Textonotapie">
    <w:name w:val="footnote text"/>
    <w:aliases w:val="Car"/>
    <w:basedOn w:val="Normal"/>
    <w:link w:val="TextonotapieCar"/>
    <w:uiPriority w:val="99"/>
    <w:semiHidden/>
    <w:rsid w:val="004B4CB7"/>
  </w:style>
  <w:style w:type="character" w:customStyle="1" w:styleId="FootnoteTextChar">
    <w:name w:val="Footnote Text Char"/>
    <w:aliases w:val="Car Char"/>
    <w:uiPriority w:val="99"/>
    <w:semiHidden/>
    <w:locked/>
    <w:rPr>
      <w:rFonts w:cs="Times New Roman"/>
      <w:sz w:val="20"/>
      <w:szCs w:val="20"/>
      <w:lang w:eastAsia="es-ES"/>
    </w:rPr>
  </w:style>
  <w:style w:type="character" w:styleId="Refdenotaalpie">
    <w:name w:val="footnote reference"/>
    <w:uiPriority w:val="99"/>
    <w:semiHidden/>
    <w:rsid w:val="004B4CB7"/>
    <w:rPr>
      <w:rFonts w:cs="Times New Roman"/>
      <w:vertAlign w:val="superscript"/>
    </w:rPr>
  </w:style>
  <w:style w:type="paragraph" w:styleId="Textoindependiente2">
    <w:name w:val="Body Text 2"/>
    <w:basedOn w:val="Normal"/>
    <w:link w:val="Textoindependiente2Car"/>
    <w:uiPriority w:val="99"/>
    <w:rsid w:val="004B4CB7"/>
    <w:pPr>
      <w:spacing w:after="120" w:line="480" w:lineRule="auto"/>
    </w:pPr>
    <w:rPr>
      <w:sz w:val="24"/>
      <w:szCs w:val="24"/>
      <w:lang w:eastAsia="es-CO"/>
    </w:rPr>
  </w:style>
  <w:style w:type="character" w:customStyle="1" w:styleId="Textoindependiente2Car">
    <w:name w:val="Texto independiente 2 Car"/>
    <w:link w:val="Textoindependiente2"/>
    <w:uiPriority w:val="99"/>
    <w:semiHidden/>
    <w:locked/>
    <w:rPr>
      <w:rFonts w:cs="Times New Roman"/>
      <w:sz w:val="20"/>
      <w:szCs w:val="20"/>
      <w:lang w:eastAsia="es-ES"/>
    </w:rPr>
  </w:style>
  <w:style w:type="paragraph" w:styleId="ndice1">
    <w:name w:val="index 1"/>
    <w:basedOn w:val="Normal"/>
    <w:next w:val="Normal"/>
    <w:autoRedefine/>
    <w:uiPriority w:val="99"/>
    <w:semiHidden/>
    <w:rsid w:val="00FD4AE4"/>
    <w:pPr>
      <w:ind w:left="200" w:hanging="200"/>
    </w:pPr>
  </w:style>
  <w:style w:type="paragraph" w:styleId="ndice2">
    <w:name w:val="index 2"/>
    <w:basedOn w:val="Normal"/>
    <w:next w:val="Normal"/>
    <w:autoRedefine/>
    <w:uiPriority w:val="99"/>
    <w:semiHidden/>
    <w:rsid w:val="00FD4AE4"/>
    <w:pPr>
      <w:ind w:left="400" w:hanging="200"/>
    </w:pPr>
  </w:style>
  <w:style w:type="paragraph" w:styleId="ndice3">
    <w:name w:val="index 3"/>
    <w:basedOn w:val="Normal"/>
    <w:next w:val="Normal"/>
    <w:autoRedefine/>
    <w:uiPriority w:val="99"/>
    <w:semiHidden/>
    <w:rsid w:val="00FD4AE4"/>
    <w:pPr>
      <w:ind w:left="600" w:hanging="200"/>
    </w:pPr>
  </w:style>
  <w:style w:type="paragraph" w:styleId="ndice4">
    <w:name w:val="index 4"/>
    <w:basedOn w:val="Normal"/>
    <w:next w:val="Normal"/>
    <w:autoRedefine/>
    <w:uiPriority w:val="99"/>
    <w:semiHidden/>
    <w:rsid w:val="00FD4AE4"/>
    <w:pPr>
      <w:ind w:left="800" w:hanging="200"/>
    </w:pPr>
  </w:style>
  <w:style w:type="paragraph" w:styleId="ndice5">
    <w:name w:val="index 5"/>
    <w:basedOn w:val="Normal"/>
    <w:next w:val="Normal"/>
    <w:autoRedefine/>
    <w:uiPriority w:val="99"/>
    <w:semiHidden/>
    <w:rsid w:val="00FD4AE4"/>
    <w:pPr>
      <w:ind w:left="1000" w:hanging="200"/>
    </w:pPr>
  </w:style>
  <w:style w:type="paragraph" w:styleId="ndice6">
    <w:name w:val="index 6"/>
    <w:basedOn w:val="Normal"/>
    <w:next w:val="Normal"/>
    <w:autoRedefine/>
    <w:uiPriority w:val="99"/>
    <w:semiHidden/>
    <w:rsid w:val="00FD4AE4"/>
    <w:pPr>
      <w:ind w:left="1200" w:hanging="200"/>
    </w:pPr>
  </w:style>
  <w:style w:type="paragraph" w:styleId="ndice7">
    <w:name w:val="index 7"/>
    <w:basedOn w:val="Normal"/>
    <w:next w:val="Normal"/>
    <w:autoRedefine/>
    <w:uiPriority w:val="99"/>
    <w:semiHidden/>
    <w:rsid w:val="00FD4AE4"/>
    <w:pPr>
      <w:ind w:left="1400" w:hanging="200"/>
    </w:pPr>
  </w:style>
  <w:style w:type="paragraph" w:styleId="ndice8">
    <w:name w:val="index 8"/>
    <w:basedOn w:val="Normal"/>
    <w:next w:val="Normal"/>
    <w:autoRedefine/>
    <w:uiPriority w:val="99"/>
    <w:semiHidden/>
    <w:rsid w:val="00FD4AE4"/>
    <w:pPr>
      <w:ind w:left="1600" w:hanging="200"/>
    </w:pPr>
  </w:style>
  <w:style w:type="paragraph" w:styleId="ndice9">
    <w:name w:val="index 9"/>
    <w:basedOn w:val="Normal"/>
    <w:next w:val="Normal"/>
    <w:autoRedefine/>
    <w:uiPriority w:val="99"/>
    <w:semiHidden/>
    <w:rsid w:val="00FD4AE4"/>
    <w:pPr>
      <w:ind w:left="1800" w:hanging="200"/>
    </w:pPr>
  </w:style>
  <w:style w:type="paragraph" w:styleId="Ttulodendice">
    <w:name w:val="index heading"/>
    <w:basedOn w:val="Normal"/>
    <w:next w:val="ndice1"/>
    <w:uiPriority w:val="99"/>
    <w:semiHidden/>
    <w:rsid w:val="00FD4AE4"/>
    <w:pPr>
      <w:spacing w:before="120" w:after="120"/>
    </w:pPr>
    <w:rPr>
      <w:b/>
      <w:bCs/>
      <w:i/>
      <w:iCs/>
    </w:rPr>
  </w:style>
  <w:style w:type="paragraph" w:styleId="TDC1">
    <w:name w:val="toc 1"/>
    <w:basedOn w:val="Normal"/>
    <w:next w:val="Normal"/>
    <w:autoRedefine/>
    <w:uiPriority w:val="39"/>
    <w:rsid w:val="00FD4AE4"/>
    <w:pPr>
      <w:spacing w:before="120" w:after="120"/>
    </w:pPr>
    <w:rPr>
      <w:b/>
      <w:bCs/>
      <w:caps/>
    </w:rPr>
  </w:style>
  <w:style w:type="paragraph" w:styleId="TDC2">
    <w:name w:val="toc 2"/>
    <w:basedOn w:val="Normal"/>
    <w:next w:val="Normal"/>
    <w:autoRedefine/>
    <w:uiPriority w:val="39"/>
    <w:rsid w:val="00FD4AE4"/>
    <w:pPr>
      <w:ind w:left="200"/>
    </w:pPr>
    <w:rPr>
      <w:smallCaps/>
    </w:rPr>
  </w:style>
  <w:style w:type="paragraph" w:styleId="TDC3">
    <w:name w:val="toc 3"/>
    <w:basedOn w:val="Normal"/>
    <w:next w:val="Normal"/>
    <w:autoRedefine/>
    <w:uiPriority w:val="39"/>
    <w:rsid w:val="00FD4AE4"/>
    <w:pPr>
      <w:ind w:left="400"/>
    </w:pPr>
    <w:rPr>
      <w:i/>
      <w:iCs/>
    </w:rPr>
  </w:style>
  <w:style w:type="paragraph" w:styleId="TDC4">
    <w:name w:val="toc 4"/>
    <w:basedOn w:val="Normal"/>
    <w:next w:val="Normal"/>
    <w:autoRedefine/>
    <w:uiPriority w:val="99"/>
    <w:semiHidden/>
    <w:rsid w:val="00FD4AE4"/>
    <w:pPr>
      <w:ind w:left="600"/>
    </w:pPr>
    <w:rPr>
      <w:sz w:val="18"/>
      <w:szCs w:val="18"/>
    </w:rPr>
  </w:style>
  <w:style w:type="paragraph" w:styleId="TDC5">
    <w:name w:val="toc 5"/>
    <w:basedOn w:val="Normal"/>
    <w:next w:val="Normal"/>
    <w:autoRedefine/>
    <w:uiPriority w:val="99"/>
    <w:semiHidden/>
    <w:rsid w:val="00FD4AE4"/>
    <w:pPr>
      <w:ind w:left="800"/>
    </w:pPr>
    <w:rPr>
      <w:sz w:val="18"/>
      <w:szCs w:val="18"/>
    </w:rPr>
  </w:style>
  <w:style w:type="paragraph" w:styleId="TDC6">
    <w:name w:val="toc 6"/>
    <w:basedOn w:val="Normal"/>
    <w:next w:val="Normal"/>
    <w:autoRedefine/>
    <w:uiPriority w:val="99"/>
    <w:semiHidden/>
    <w:rsid w:val="00FD4AE4"/>
    <w:pPr>
      <w:ind w:left="1000"/>
    </w:pPr>
    <w:rPr>
      <w:sz w:val="18"/>
      <w:szCs w:val="18"/>
    </w:rPr>
  </w:style>
  <w:style w:type="paragraph" w:styleId="TDC7">
    <w:name w:val="toc 7"/>
    <w:basedOn w:val="Normal"/>
    <w:next w:val="Normal"/>
    <w:autoRedefine/>
    <w:uiPriority w:val="99"/>
    <w:semiHidden/>
    <w:rsid w:val="00FD4AE4"/>
    <w:pPr>
      <w:ind w:left="1200"/>
    </w:pPr>
    <w:rPr>
      <w:sz w:val="18"/>
      <w:szCs w:val="18"/>
    </w:rPr>
  </w:style>
  <w:style w:type="paragraph" w:styleId="TDC8">
    <w:name w:val="toc 8"/>
    <w:basedOn w:val="Normal"/>
    <w:next w:val="Normal"/>
    <w:autoRedefine/>
    <w:uiPriority w:val="99"/>
    <w:semiHidden/>
    <w:rsid w:val="00FD4AE4"/>
    <w:pPr>
      <w:ind w:left="1400"/>
    </w:pPr>
    <w:rPr>
      <w:sz w:val="18"/>
      <w:szCs w:val="18"/>
    </w:rPr>
  </w:style>
  <w:style w:type="paragraph" w:styleId="TDC9">
    <w:name w:val="toc 9"/>
    <w:basedOn w:val="Normal"/>
    <w:next w:val="Normal"/>
    <w:autoRedefine/>
    <w:uiPriority w:val="99"/>
    <w:semiHidden/>
    <w:rsid w:val="00FD4AE4"/>
    <w:pPr>
      <w:ind w:left="1600"/>
    </w:pPr>
    <w:rPr>
      <w:sz w:val="18"/>
      <w:szCs w:val="18"/>
    </w:rPr>
  </w:style>
  <w:style w:type="character" w:styleId="Nmerodepgina">
    <w:name w:val="page number"/>
    <w:uiPriority w:val="99"/>
    <w:rsid w:val="00C65CEB"/>
    <w:rPr>
      <w:rFonts w:cs="Times New Roman"/>
    </w:rPr>
  </w:style>
  <w:style w:type="paragraph" w:styleId="NormalWeb">
    <w:name w:val="Normal (Web)"/>
    <w:basedOn w:val="Normal"/>
    <w:uiPriority w:val="99"/>
    <w:rsid w:val="00802C30"/>
    <w:rPr>
      <w:sz w:val="24"/>
      <w:szCs w:val="24"/>
    </w:rPr>
  </w:style>
  <w:style w:type="paragraph" w:customStyle="1" w:styleId="Default">
    <w:name w:val="Default"/>
    <w:rsid w:val="00F23D64"/>
    <w:pPr>
      <w:autoSpaceDE w:val="0"/>
      <w:autoSpaceDN w:val="0"/>
      <w:adjustRightInd w:val="0"/>
    </w:pPr>
    <w:rPr>
      <w:rFonts w:ascii="Tahoma" w:hAnsi="Tahoma" w:cs="Tahoma"/>
      <w:color w:val="000000"/>
      <w:sz w:val="24"/>
      <w:szCs w:val="24"/>
      <w:lang w:val="es-ES" w:eastAsia="es-ES"/>
    </w:rPr>
  </w:style>
  <w:style w:type="table" w:styleId="Tablaconcuadrcula">
    <w:name w:val="Table Grid"/>
    <w:basedOn w:val="Tablanormal"/>
    <w:uiPriority w:val="59"/>
    <w:rsid w:val="00FA2F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uiPriority w:val="99"/>
    <w:qFormat/>
    <w:rsid w:val="00304433"/>
    <w:pPr>
      <w:ind w:left="708"/>
    </w:pPr>
  </w:style>
  <w:style w:type="paragraph" w:styleId="Textodeglobo">
    <w:name w:val="Balloon Text"/>
    <w:basedOn w:val="Normal"/>
    <w:link w:val="TextodegloboCar"/>
    <w:uiPriority w:val="99"/>
    <w:rsid w:val="00641599"/>
    <w:rPr>
      <w:rFonts w:ascii="Tahoma" w:hAnsi="Tahoma" w:cs="Tahoma"/>
      <w:sz w:val="16"/>
      <w:szCs w:val="16"/>
    </w:rPr>
  </w:style>
  <w:style w:type="character" w:customStyle="1" w:styleId="TextodegloboCar">
    <w:name w:val="Texto de globo Car"/>
    <w:link w:val="Textodeglobo"/>
    <w:uiPriority w:val="99"/>
    <w:locked/>
    <w:rsid w:val="00641599"/>
    <w:rPr>
      <w:rFonts w:ascii="Tahoma" w:hAnsi="Tahoma" w:cs="Tahoma"/>
      <w:sz w:val="16"/>
      <w:szCs w:val="16"/>
      <w:lang w:val="es-CO"/>
    </w:rPr>
  </w:style>
  <w:style w:type="character" w:customStyle="1" w:styleId="TextonotapieCar">
    <w:name w:val="Texto nota pie Car"/>
    <w:aliases w:val="Car Car"/>
    <w:link w:val="Textonotapie"/>
    <w:uiPriority w:val="99"/>
    <w:semiHidden/>
    <w:locked/>
    <w:rsid w:val="00585A0E"/>
    <w:rPr>
      <w:rFonts w:cs="Times New Roman"/>
      <w:lang w:val="es-CO" w:eastAsia="es-ES" w:bidi="ar-SA"/>
    </w:rPr>
  </w:style>
  <w:style w:type="character" w:customStyle="1" w:styleId="FooterChar">
    <w:name w:val="Footer Char"/>
    <w:semiHidden/>
    <w:locked/>
    <w:rsid w:val="007B7E4F"/>
    <w:rPr>
      <w:rFonts w:ascii="Times New Roman" w:hAnsi="Times New Roman" w:cs="Times New Roman"/>
      <w:sz w:val="24"/>
      <w:szCs w:val="24"/>
      <w:lang w:val="es-ES" w:eastAsia="es-ES"/>
    </w:rPr>
  </w:style>
  <w:style w:type="character" w:styleId="Refdecomentario">
    <w:name w:val="annotation reference"/>
    <w:uiPriority w:val="99"/>
    <w:semiHidden/>
    <w:rsid w:val="00103C08"/>
    <w:rPr>
      <w:sz w:val="16"/>
      <w:szCs w:val="16"/>
    </w:rPr>
  </w:style>
  <w:style w:type="paragraph" w:styleId="Textocomentario">
    <w:name w:val="annotation text"/>
    <w:basedOn w:val="Normal"/>
    <w:link w:val="TextocomentarioCar"/>
    <w:uiPriority w:val="99"/>
    <w:rsid w:val="00103C08"/>
  </w:style>
  <w:style w:type="paragraph" w:styleId="Asuntodelcomentario">
    <w:name w:val="annotation subject"/>
    <w:basedOn w:val="Textocomentario"/>
    <w:next w:val="Textocomentario"/>
    <w:link w:val="AsuntodelcomentarioCar"/>
    <w:uiPriority w:val="99"/>
    <w:semiHidden/>
    <w:rsid w:val="00103C08"/>
    <w:rPr>
      <w:b/>
      <w:bCs/>
    </w:rPr>
  </w:style>
  <w:style w:type="paragraph" w:customStyle="1" w:styleId="Sangradet">
    <w:name w:val="Sangría de t"/>
    <w:aliases w:val="independiente"/>
    <w:basedOn w:val="Normal"/>
    <w:rsid w:val="00A71C37"/>
    <w:pPr>
      <w:numPr>
        <w:ilvl w:val="12"/>
      </w:numPr>
      <w:autoSpaceDE w:val="0"/>
      <w:autoSpaceDN w:val="0"/>
      <w:jc w:val="both"/>
    </w:pPr>
    <w:rPr>
      <w:rFonts w:ascii="Arial" w:hAnsi="Arial" w:cs="Arial"/>
      <w:sz w:val="22"/>
      <w:szCs w:val="22"/>
      <w:lang w:val="es-ES_tradnl"/>
    </w:rPr>
  </w:style>
  <w:style w:type="character" w:styleId="Hipervnculovisitado">
    <w:name w:val="FollowedHyperlink"/>
    <w:uiPriority w:val="99"/>
    <w:semiHidden/>
    <w:unhideWhenUsed/>
    <w:rsid w:val="00BB5455"/>
    <w:rPr>
      <w:color w:val="800080"/>
      <w:u w:val="single"/>
    </w:rPr>
  </w:style>
  <w:style w:type="character" w:styleId="Textoennegrita">
    <w:name w:val="Strong"/>
    <w:uiPriority w:val="22"/>
    <w:qFormat/>
    <w:locked/>
    <w:rsid w:val="009B4388"/>
    <w:rPr>
      <w:b/>
      <w:bCs/>
    </w:rPr>
  </w:style>
  <w:style w:type="character" w:styleId="nfasis">
    <w:name w:val="Emphasis"/>
    <w:uiPriority w:val="20"/>
    <w:qFormat/>
    <w:locked/>
    <w:rsid w:val="009B4388"/>
    <w:rPr>
      <w:i/>
      <w:iCs/>
    </w:rPr>
  </w:style>
  <w:style w:type="paragraph" w:customStyle="1" w:styleId="Standard">
    <w:name w:val="Standard"/>
    <w:link w:val="StandardCar"/>
    <w:qFormat/>
    <w:rsid w:val="00C41D93"/>
    <w:pPr>
      <w:suppressAutoHyphens/>
      <w:autoSpaceDN w:val="0"/>
      <w:textAlignment w:val="baseline"/>
    </w:pPr>
    <w:rPr>
      <w:kern w:val="3"/>
      <w:lang w:eastAsia="zh-CN"/>
    </w:rPr>
  </w:style>
  <w:style w:type="paragraph" w:customStyle="1" w:styleId="Normal1">
    <w:name w:val="Normal1"/>
    <w:rsid w:val="00F54C29"/>
    <w:pPr>
      <w:suppressAutoHyphens/>
      <w:textAlignment w:val="baseline"/>
    </w:pPr>
    <w:rPr>
      <w:color w:val="00000A"/>
      <w:lang w:eastAsia="zh-CN"/>
    </w:rPr>
  </w:style>
  <w:style w:type="numbering" w:customStyle="1" w:styleId="WW8Num5">
    <w:name w:val="WW8Num5"/>
    <w:rsid w:val="00F54C29"/>
    <w:pPr>
      <w:numPr>
        <w:numId w:val="1"/>
      </w:numPr>
    </w:pPr>
  </w:style>
  <w:style w:type="numbering" w:customStyle="1" w:styleId="WW8Num8">
    <w:name w:val="WW8Num8"/>
    <w:rsid w:val="00F54C29"/>
    <w:pPr>
      <w:numPr>
        <w:numId w:val="3"/>
      </w:numPr>
    </w:pPr>
  </w:style>
  <w:style w:type="numbering" w:customStyle="1" w:styleId="WW8Num7">
    <w:name w:val="WW8Num7"/>
    <w:rsid w:val="00F54C29"/>
    <w:pPr>
      <w:numPr>
        <w:numId w:val="2"/>
      </w:numPr>
    </w:pPr>
  </w:style>
  <w:style w:type="numbering" w:customStyle="1" w:styleId="WW8Num4">
    <w:name w:val="WW8Num4"/>
    <w:rsid w:val="00F54C29"/>
    <w:pPr>
      <w:numPr>
        <w:numId w:val="4"/>
      </w:numPr>
    </w:pPr>
  </w:style>
  <w:style w:type="paragraph" w:styleId="Revisin">
    <w:name w:val="Revision"/>
    <w:hidden/>
    <w:uiPriority w:val="99"/>
    <w:semiHidden/>
    <w:rsid w:val="00F55944"/>
    <w:rPr>
      <w:lang w:eastAsia="es-ES"/>
    </w:rPr>
  </w:style>
  <w:style w:type="character" w:customStyle="1" w:styleId="StandardCar">
    <w:name w:val="Standard Car"/>
    <w:link w:val="Standard"/>
    <w:locked/>
    <w:rsid w:val="003A079B"/>
    <w:rPr>
      <w:kern w:val="3"/>
      <w:lang w:eastAsia="zh-CN"/>
    </w:rPr>
  </w:style>
  <w:style w:type="paragraph" w:styleId="Prrafodelista">
    <w:name w:val="List Paragraph"/>
    <w:aliases w:val="List,LISTA,Párrafo de lista2,Ha,Resume Title,Bullets,Cuadrícula clara - Énfasis 31,HOJA,Bolita,Párrafo de lista4,BOLADEF,Párrafo de lista3,Párrafo de lista21,BOLA,Nivel 1 OS,Colorful List Accent 1,List1,Bullet List,FooterText,numbered"/>
    <w:basedOn w:val="Normal"/>
    <w:link w:val="PrrafodelistaCar"/>
    <w:uiPriority w:val="1"/>
    <w:qFormat/>
    <w:rsid w:val="00CD5ED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customStyle="1" w:styleId="WW8Num6z2">
    <w:name w:val="WW8Num6z2"/>
    <w:rsid w:val="00766DCB"/>
  </w:style>
  <w:style w:type="character" w:customStyle="1" w:styleId="PrrafodelistaCar">
    <w:name w:val="Párrafo de lista Car"/>
    <w:aliases w:val="List Car,LISTA Car,Párrafo de lista2 Car,Ha Car,Resume Title Car,Bullets Car,Cuadrícula clara - Énfasis 31 Car,HOJA Car,Bolita Car,Párrafo de lista4 Car,BOLADEF Car,Párrafo de lista3 Car,Párrafo de lista21 Car,BOLA Car,List1 Car"/>
    <w:link w:val="Prrafodelista"/>
    <w:uiPriority w:val="1"/>
    <w:qFormat/>
    <w:rsid w:val="00771281"/>
    <w:rPr>
      <w:rFonts w:asciiTheme="minorHAnsi" w:eastAsiaTheme="minorHAnsi" w:hAnsiTheme="minorHAnsi" w:cstheme="minorBidi"/>
      <w:kern w:val="2"/>
      <w:sz w:val="22"/>
      <w:szCs w:val="22"/>
      <w:lang w:eastAsia="en-US"/>
      <w14:ligatures w14:val="standardContextual"/>
    </w:rPr>
  </w:style>
  <w:style w:type="paragraph" w:customStyle="1" w:styleId="paragraph">
    <w:name w:val="paragraph"/>
    <w:basedOn w:val="Normal"/>
    <w:rsid w:val="00771281"/>
    <w:pPr>
      <w:spacing w:before="100" w:beforeAutospacing="1" w:after="100" w:afterAutospacing="1"/>
    </w:pPr>
    <w:rPr>
      <w:sz w:val="24"/>
      <w:szCs w:val="24"/>
      <w:lang w:eastAsia="es-CO"/>
    </w:rPr>
  </w:style>
  <w:style w:type="character" w:customStyle="1" w:styleId="normaltextrun">
    <w:name w:val="normaltextrun"/>
    <w:basedOn w:val="Fuentedeprrafopredeter"/>
    <w:rsid w:val="00771281"/>
  </w:style>
  <w:style w:type="character" w:customStyle="1" w:styleId="eop">
    <w:name w:val="eop"/>
    <w:basedOn w:val="Fuentedeprrafopredeter"/>
    <w:rsid w:val="001F1468"/>
  </w:style>
  <w:style w:type="character" w:customStyle="1" w:styleId="findhit">
    <w:name w:val="findhit"/>
    <w:basedOn w:val="Fuentedeprrafopredeter"/>
    <w:rsid w:val="001F1468"/>
  </w:style>
  <w:style w:type="character" w:customStyle="1" w:styleId="Ttulo1Car">
    <w:name w:val="Título 1 Car"/>
    <w:basedOn w:val="Fuentedeprrafopredeter"/>
    <w:link w:val="Ttulo1"/>
    <w:uiPriority w:val="9"/>
    <w:rsid w:val="00247B01"/>
    <w:rPr>
      <w:rFonts w:ascii="Calibri" w:eastAsia="Arial" w:hAnsi="Calibri" w:cs="Arial"/>
      <w:b/>
      <w:bCs/>
      <w:sz w:val="21"/>
      <w:szCs w:val="21"/>
      <w:lang w:eastAsia="es-ES_tradnl"/>
    </w:rPr>
  </w:style>
  <w:style w:type="character" w:customStyle="1" w:styleId="Ttulo2Car">
    <w:name w:val="Título 2 Car"/>
    <w:basedOn w:val="Fuentedeprrafopredeter"/>
    <w:link w:val="Ttulo2"/>
    <w:uiPriority w:val="9"/>
    <w:rsid w:val="00247B01"/>
    <w:rPr>
      <w:rFonts w:ascii="Calibri" w:hAnsi="Calibri"/>
      <w:b/>
      <w:sz w:val="22"/>
      <w:szCs w:val="36"/>
      <w:lang w:eastAsia="es-ES_tradnl"/>
    </w:rPr>
  </w:style>
  <w:style w:type="paragraph" w:customStyle="1" w:styleId="Ttulo31">
    <w:name w:val="Título 31"/>
    <w:basedOn w:val="Normal"/>
    <w:next w:val="Normal"/>
    <w:uiPriority w:val="9"/>
    <w:unhideWhenUsed/>
    <w:qFormat/>
    <w:rsid w:val="00247B01"/>
    <w:pPr>
      <w:keepNext/>
      <w:keepLines/>
      <w:numPr>
        <w:numId w:val="28"/>
      </w:numPr>
      <w:spacing w:before="40" w:line="259" w:lineRule="auto"/>
      <w:ind w:left="1146"/>
      <w:outlineLvl w:val="2"/>
    </w:pPr>
    <w:rPr>
      <w:rFonts w:ascii="Calibri" w:eastAsia="Yu Gothic Light" w:hAnsi="Calibri"/>
      <w:b/>
      <w:kern w:val="2"/>
      <w:sz w:val="22"/>
      <w:szCs w:val="24"/>
      <w:lang w:eastAsia="en-US"/>
      <w14:ligatures w14:val="standardContextual"/>
    </w:rPr>
  </w:style>
  <w:style w:type="character" w:customStyle="1" w:styleId="Ttulo4Car">
    <w:name w:val="Título 4 Car"/>
    <w:basedOn w:val="Fuentedeprrafopredeter"/>
    <w:link w:val="Ttulo4"/>
    <w:uiPriority w:val="9"/>
    <w:rsid w:val="00247B01"/>
    <w:rPr>
      <w:rFonts w:ascii="Arial" w:hAnsi="Arial" w:cs="Arial"/>
      <w:b/>
      <w:sz w:val="22"/>
      <w:szCs w:val="22"/>
      <w:lang w:eastAsia="es-ES_tradnl"/>
    </w:rPr>
  </w:style>
  <w:style w:type="character" w:customStyle="1" w:styleId="Ttulo5Car">
    <w:name w:val="Título 5 Car"/>
    <w:basedOn w:val="Fuentedeprrafopredeter"/>
    <w:link w:val="Ttulo5"/>
    <w:uiPriority w:val="9"/>
    <w:semiHidden/>
    <w:rsid w:val="00247B01"/>
    <w:rPr>
      <w:b/>
      <w:sz w:val="24"/>
      <w:szCs w:val="24"/>
      <w:lang w:eastAsia="es-ES_tradnl"/>
    </w:rPr>
  </w:style>
  <w:style w:type="character" w:customStyle="1" w:styleId="Ttulo6Car">
    <w:name w:val="Título 6 Car"/>
    <w:basedOn w:val="Fuentedeprrafopredeter"/>
    <w:link w:val="Ttulo6"/>
    <w:uiPriority w:val="9"/>
    <w:semiHidden/>
    <w:rsid w:val="00247B01"/>
    <w:rPr>
      <w:b/>
      <w:lang w:eastAsia="es-ES_tradnl"/>
    </w:rPr>
  </w:style>
  <w:style w:type="paragraph" w:customStyle="1" w:styleId="Ttulo71">
    <w:name w:val="Título 71"/>
    <w:basedOn w:val="Normal"/>
    <w:next w:val="Normal"/>
    <w:uiPriority w:val="9"/>
    <w:semiHidden/>
    <w:unhideWhenUsed/>
    <w:qFormat/>
    <w:rsid w:val="00247B01"/>
    <w:pPr>
      <w:keepNext/>
      <w:keepLines/>
      <w:numPr>
        <w:ilvl w:val="6"/>
        <w:numId w:val="27"/>
      </w:numPr>
      <w:tabs>
        <w:tab w:val="num" w:pos="360"/>
      </w:tabs>
      <w:spacing w:before="40"/>
      <w:ind w:left="0" w:firstLine="0"/>
      <w:outlineLvl w:val="6"/>
    </w:pPr>
    <w:rPr>
      <w:rFonts w:ascii="Calibri Light" w:eastAsia="Yu Gothic Light" w:hAnsi="Calibri Light"/>
      <w:i/>
      <w:iCs/>
      <w:color w:val="1F3763"/>
      <w:sz w:val="24"/>
      <w:szCs w:val="24"/>
      <w:lang w:eastAsia="es-ES_tradnl"/>
    </w:rPr>
  </w:style>
  <w:style w:type="paragraph" w:customStyle="1" w:styleId="Ttulo81">
    <w:name w:val="Título 81"/>
    <w:basedOn w:val="Normal"/>
    <w:next w:val="Normal"/>
    <w:uiPriority w:val="9"/>
    <w:semiHidden/>
    <w:unhideWhenUsed/>
    <w:qFormat/>
    <w:rsid w:val="00247B01"/>
    <w:pPr>
      <w:keepNext/>
      <w:keepLines/>
      <w:numPr>
        <w:ilvl w:val="7"/>
        <w:numId w:val="27"/>
      </w:numPr>
      <w:tabs>
        <w:tab w:val="num" w:pos="360"/>
      </w:tabs>
      <w:spacing w:before="40"/>
      <w:ind w:left="0" w:firstLine="0"/>
      <w:outlineLvl w:val="7"/>
    </w:pPr>
    <w:rPr>
      <w:rFonts w:ascii="Calibri Light" w:eastAsia="Yu Gothic Light" w:hAnsi="Calibri Light"/>
      <w:color w:val="272727"/>
      <w:sz w:val="21"/>
      <w:szCs w:val="21"/>
      <w:lang w:eastAsia="es-ES_tradnl"/>
    </w:rPr>
  </w:style>
  <w:style w:type="paragraph" w:customStyle="1" w:styleId="Ttulo91">
    <w:name w:val="Título 91"/>
    <w:basedOn w:val="Normal"/>
    <w:next w:val="Normal"/>
    <w:uiPriority w:val="9"/>
    <w:semiHidden/>
    <w:unhideWhenUsed/>
    <w:qFormat/>
    <w:rsid w:val="00247B01"/>
    <w:pPr>
      <w:keepNext/>
      <w:keepLines/>
      <w:numPr>
        <w:ilvl w:val="8"/>
        <w:numId w:val="27"/>
      </w:numPr>
      <w:tabs>
        <w:tab w:val="num" w:pos="360"/>
      </w:tabs>
      <w:spacing w:before="40"/>
      <w:ind w:left="0" w:firstLine="0"/>
      <w:outlineLvl w:val="8"/>
    </w:pPr>
    <w:rPr>
      <w:rFonts w:ascii="Calibri Light" w:eastAsia="Yu Gothic Light" w:hAnsi="Calibri Light"/>
      <w:i/>
      <w:iCs/>
      <w:color w:val="272727"/>
      <w:sz w:val="21"/>
      <w:szCs w:val="21"/>
      <w:lang w:eastAsia="es-ES_tradnl"/>
    </w:rPr>
  </w:style>
  <w:style w:type="numbering" w:customStyle="1" w:styleId="Sinlista1">
    <w:name w:val="Sin lista1"/>
    <w:next w:val="Sinlista"/>
    <w:uiPriority w:val="99"/>
    <w:semiHidden/>
    <w:unhideWhenUsed/>
    <w:rsid w:val="00247B01"/>
  </w:style>
  <w:style w:type="table" w:customStyle="1" w:styleId="Tablaconcuadrcula1">
    <w:name w:val="Tabla con cuadrícula1"/>
    <w:basedOn w:val="Tablanormal"/>
    <w:next w:val="Tablaconcuadrcula"/>
    <w:uiPriority w:val="39"/>
    <w:rsid w:val="00247B01"/>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j">
    <w:name w:val="b_aj"/>
    <w:basedOn w:val="Fuentedeprrafopredeter"/>
    <w:rsid w:val="00247B01"/>
  </w:style>
  <w:style w:type="paragraph" w:customStyle="1" w:styleId="xmsonormal">
    <w:name w:val="x_msonormal"/>
    <w:basedOn w:val="Normal"/>
    <w:rsid w:val="00247B01"/>
    <w:pPr>
      <w:spacing w:before="100" w:beforeAutospacing="1" w:after="100" w:afterAutospacing="1"/>
    </w:pPr>
    <w:rPr>
      <w:sz w:val="24"/>
      <w:szCs w:val="24"/>
      <w:lang w:eastAsia="es-CO"/>
    </w:rPr>
  </w:style>
  <w:style w:type="character" w:customStyle="1" w:styleId="Mencinsinresolver1">
    <w:name w:val="Mención sin resolver1"/>
    <w:basedOn w:val="Fuentedeprrafopredeter"/>
    <w:uiPriority w:val="99"/>
    <w:semiHidden/>
    <w:unhideWhenUsed/>
    <w:rsid w:val="00247B01"/>
    <w:rPr>
      <w:color w:val="605E5C"/>
      <w:shd w:val="clear" w:color="auto" w:fill="E1DFDD"/>
    </w:rPr>
  </w:style>
  <w:style w:type="character" w:customStyle="1" w:styleId="TextocomentarioCar">
    <w:name w:val="Texto comentario Car"/>
    <w:basedOn w:val="Fuentedeprrafopredeter"/>
    <w:link w:val="Textocomentario"/>
    <w:uiPriority w:val="99"/>
    <w:rsid w:val="00247B01"/>
    <w:rPr>
      <w:lang w:eastAsia="es-ES"/>
    </w:rPr>
  </w:style>
  <w:style w:type="character" w:customStyle="1" w:styleId="AsuntodelcomentarioCar">
    <w:name w:val="Asunto del comentario Car"/>
    <w:basedOn w:val="TextocomentarioCar"/>
    <w:link w:val="Asuntodelcomentario"/>
    <w:uiPriority w:val="99"/>
    <w:semiHidden/>
    <w:rsid w:val="00247B01"/>
    <w:rPr>
      <w:b/>
      <w:bCs/>
      <w:lang w:eastAsia="es-ES"/>
    </w:rPr>
  </w:style>
  <w:style w:type="character" w:customStyle="1" w:styleId="Mencionar1">
    <w:name w:val="Mencionar1"/>
    <w:basedOn w:val="Fuentedeprrafopredeter"/>
    <w:uiPriority w:val="99"/>
    <w:unhideWhenUsed/>
    <w:rsid w:val="00247B01"/>
    <w:rPr>
      <w:color w:val="2B579A"/>
      <w:shd w:val="clear" w:color="auto" w:fill="E1DFDD"/>
    </w:rPr>
  </w:style>
  <w:style w:type="character" w:customStyle="1" w:styleId="Ttulo7Car">
    <w:name w:val="Título 7 Car"/>
    <w:basedOn w:val="Fuentedeprrafopredeter"/>
    <w:link w:val="Ttulo7"/>
    <w:uiPriority w:val="9"/>
    <w:semiHidden/>
    <w:rsid w:val="00247B01"/>
    <w:rPr>
      <w:rFonts w:ascii="Calibri Light" w:eastAsia="Yu Gothic Light" w:hAnsi="Calibri Light" w:cs="Times New Roman"/>
      <w:i/>
      <w:iCs/>
      <w:color w:val="1F3763"/>
      <w:kern w:val="0"/>
      <w:sz w:val="24"/>
      <w:szCs w:val="24"/>
      <w:lang w:eastAsia="es-ES_tradnl"/>
      <w14:ligatures w14:val="none"/>
    </w:rPr>
  </w:style>
  <w:style w:type="character" w:customStyle="1" w:styleId="Ttulo8Car">
    <w:name w:val="Título 8 Car"/>
    <w:basedOn w:val="Fuentedeprrafopredeter"/>
    <w:link w:val="Ttulo8"/>
    <w:uiPriority w:val="9"/>
    <w:semiHidden/>
    <w:rsid w:val="00247B01"/>
    <w:rPr>
      <w:rFonts w:ascii="Calibri Light" w:eastAsia="Yu Gothic Light" w:hAnsi="Calibri Light" w:cs="Times New Roman"/>
      <w:color w:val="272727"/>
      <w:kern w:val="0"/>
      <w:sz w:val="21"/>
      <w:szCs w:val="21"/>
      <w:lang w:eastAsia="es-ES_tradnl"/>
      <w14:ligatures w14:val="none"/>
    </w:rPr>
  </w:style>
  <w:style w:type="character" w:customStyle="1" w:styleId="Ttulo9Car">
    <w:name w:val="Título 9 Car"/>
    <w:basedOn w:val="Fuentedeprrafopredeter"/>
    <w:link w:val="Ttulo9"/>
    <w:uiPriority w:val="9"/>
    <w:semiHidden/>
    <w:rsid w:val="00247B01"/>
    <w:rPr>
      <w:rFonts w:ascii="Calibri Light" w:eastAsia="Yu Gothic Light" w:hAnsi="Calibri Light" w:cs="Times New Roman"/>
      <w:i/>
      <w:iCs/>
      <w:color w:val="272727"/>
      <w:kern w:val="0"/>
      <w:sz w:val="21"/>
      <w:szCs w:val="21"/>
      <w:lang w:eastAsia="es-ES_tradnl"/>
      <w14:ligatures w14:val="none"/>
    </w:rPr>
  </w:style>
  <w:style w:type="numbering" w:customStyle="1" w:styleId="Listaactual8">
    <w:name w:val="Lista actual8"/>
    <w:uiPriority w:val="99"/>
    <w:rsid w:val="00247B01"/>
    <w:pPr>
      <w:numPr>
        <w:numId w:val="26"/>
      </w:numPr>
    </w:pPr>
  </w:style>
  <w:style w:type="paragraph" w:customStyle="1" w:styleId="TtuloTDC1">
    <w:name w:val="Título TDC1"/>
    <w:basedOn w:val="Ttulo1"/>
    <w:next w:val="Normal"/>
    <w:uiPriority w:val="39"/>
    <w:unhideWhenUsed/>
    <w:qFormat/>
    <w:rsid w:val="00247B01"/>
    <w:pPr>
      <w:keepNext/>
      <w:keepLines/>
      <w:spacing w:before="240" w:line="259" w:lineRule="auto"/>
      <w:outlineLvl w:val="9"/>
    </w:pPr>
    <w:rPr>
      <w:rFonts w:ascii="Calibri Light" w:eastAsia="Yu Gothic Light" w:hAnsi="Calibri Light" w:cs="Times New Roman"/>
      <w:b w:val="0"/>
      <w:bCs w:val="0"/>
      <w:color w:val="2F5496"/>
      <w:sz w:val="32"/>
      <w:szCs w:val="32"/>
      <w:lang w:eastAsia="es-CO"/>
    </w:rPr>
  </w:style>
  <w:style w:type="character" w:customStyle="1" w:styleId="Ttulo3Car">
    <w:name w:val="Título 3 Car"/>
    <w:basedOn w:val="Fuentedeprrafopredeter"/>
    <w:link w:val="Ttulo3"/>
    <w:uiPriority w:val="9"/>
    <w:rsid w:val="00247B01"/>
    <w:rPr>
      <w:rFonts w:ascii="Calibri" w:eastAsia="Yu Gothic Light" w:hAnsi="Calibri" w:cs="Times New Roman"/>
      <w:b/>
      <w:szCs w:val="24"/>
    </w:rPr>
  </w:style>
  <w:style w:type="numbering" w:customStyle="1" w:styleId="Sinlista11">
    <w:name w:val="Sin lista11"/>
    <w:next w:val="Sinlista"/>
    <w:uiPriority w:val="99"/>
    <w:semiHidden/>
    <w:unhideWhenUsed/>
    <w:rsid w:val="00247B01"/>
  </w:style>
  <w:style w:type="paragraph" w:customStyle="1" w:styleId="msonormal0">
    <w:name w:val="msonormal"/>
    <w:basedOn w:val="Normal"/>
    <w:rsid w:val="00247B01"/>
    <w:pPr>
      <w:spacing w:before="100" w:beforeAutospacing="1" w:after="100" w:afterAutospacing="1"/>
    </w:pPr>
    <w:rPr>
      <w:sz w:val="24"/>
      <w:szCs w:val="24"/>
      <w:lang w:eastAsia="es-CO"/>
    </w:rPr>
  </w:style>
  <w:style w:type="paragraph" w:customStyle="1" w:styleId="xl65">
    <w:name w:val="xl65"/>
    <w:basedOn w:val="Normal"/>
    <w:rsid w:val="00247B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eastAsia="es-CO"/>
    </w:rPr>
  </w:style>
  <w:style w:type="paragraph" w:customStyle="1" w:styleId="xl66">
    <w:name w:val="xl66"/>
    <w:basedOn w:val="Normal"/>
    <w:rsid w:val="00247B01"/>
    <w:pPr>
      <w:pBdr>
        <w:left w:val="single" w:sz="4" w:space="0" w:color="auto"/>
        <w:bottom w:val="single" w:sz="4" w:space="0" w:color="auto"/>
        <w:right w:val="single" w:sz="4" w:space="0" w:color="auto"/>
      </w:pBdr>
      <w:spacing w:before="100" w:beforeAutospacing="1" w:after="100" w:afterAutospacing="1"/>
      <w:textAlignment w:val="center"/>
    </w:pPr>
    <w:rPr>
      <w:color w:val="000000"/>
      <w:lang w:eastAsia="es-CO"/>
    </w:rPr>
  </w:style>
  <w:style w:type="paragraph" w:customStyle="1" w:styleId="xl67">
    <w:name w:val="xl67"/>
    <w:basedOn w:val="Normal"/>
    <w:rsid w:val="00247B01"/>
    <w:pPr>
      <w:pBdr>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eastAsia="es-CO"/>
    </w:rPr>
  </w:style>
  <w:style w:type="paragraph" w:customStyle="1" w:styleId="xl68">
    <w:name w:val="xl68"/>
    <w:basedOn w:val="Normal"/>
    <w:rsid w:val="00247B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eastAsia="es-CO"/>
    </w:rPr>
  </w:style>
  <w:style w:type="paragraph" w:customStyle="1" w:styleId="xl69">
    <w:name w:val="xl69"/>
    <w:basedOn w:val="Normal"/>
    <w:rsid w:val="00247B01"/>
    <w:pPr>
      <w:pBdr>
        <w:top w:val="single" w:sz="4" w:space="0" w:color="auto"/>
        <w:left w:val="single" w:sz="4" w:space="0" w:color="auto"/>
        <w:right w:val="single" w:sz="4" w:space="0" w:color="auto"/>
      </w:pBdr>
      <w:spacing w:before="100" w:beforeAutospacing="1" w:after="100" w:afterAutospacing="1"/>
      <w:textAlignment w:val="center"/>
    </w:pPr>
    <w:rPr>
      <w:color w:val="000000"/>
      <w:lang w:eastAsia="es-CO"/>
    </w:rPr>
  </w:style>
  <w:style w:type="paragraph" w:customStyle="1" w:styleId="xl70">
    <w:name w:val="xl70"/>
    <w:basedOn w:val="Normal"/>
    <w:rsid w:val="00247B01"/>
    <w:pPr>
      <w:pBdr>
        <w:top w:val="single" w:sz="4" w:space="0" w:color="auto"/>
        <w:left w:val="single" w:sz="4" w:space="0" w:color="auto"/>
        <w:right w:val="single" w:sz="4" w:space="0" w:color="auto"/>
      </w:pBdr>
      <w:spacing w:before="100" w:beforeAutospacing="1" w:after="100" w:afterAutospacing="1"/>
      <w:jc w:val="right"/>
      <w:textAlignment w:val="center"/>
    </w:pPr>
    <w:rPr>
      <w:color w:val="000000"/>
      <w:sz w:val="18"/>
      <w:szCs w:val="18"/>
      <w:lang w:eastAsia="es-CO"/>
    </w:rPr>
  </w:style>
  <w:style w:type="paragraph" w:customStyle="1" w:styleId="xl71">
    <w:name w:val="xl71"/>
    <w:basedOn w:val="Normal"/>
    <w:rsid w:val="00247B0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eastAsia="es-CO"/>
    </w:rPr>
  </w:style>
  <w:style w:type="paragraph" w:customStyle="1" w:styleId="xl72">
    <w:name w:val="xl72"/>
    <w:basedOn w:val="Normal"/>
    <w:rsid w:val="00247B0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eastAsia="es-CO"/>
    </w:rPr>
  </w:style>
  <w:style w:type="paragraph" w:customStyle="1" w:styleId="xl73">
    <w:name w:val="xl73"/>
    <w:basedOn w:val="Normal"/>
    <w:rsid w:val="00247B01"/>
    <w:pPr>
      <w:pBdr>
        <w:left w:val="single" w:sz="8" w:space="0" w:color="auto"/>
        <w:bottom w:val="single" w:sz="4" w:space="0" w:color="auto"/>
        <w:right w:val="single" w:sz="4" w:space="0" w:color="auto"/>
      </w:pBdr>
      <w:spacing w:before="100" w:beforeAutospacing="1" w:after="100" w:afterAutospacing="1"/>
      <w:jc w:val="center"/>
    </w:pPr>
    <w:rPr>
      <w:color w:val="000000"/>
      <w:lang w:eastAsia="es-CO"/>
    </w:rPr>
  </w:style>
  <w:style w:type="paragraph" w:customStyle="1" w:styleId="xl74">
    <w:name w:val="xl74"/>
    <w:basedOn w:val="Normal"/>
    <w:rsid w:val="00247B0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lang w:eastAsia="es-CO"/>
    </w:rPr>
  </w:style>
  <w:style w:type="paragraph" w:customStyle="1" w:styleId="xl75">
    <w:name w:val="xl75"/>
    <w:basedOn w:val="Normal"/>
    <w:rsid w:val="00247B01"/>
    <w:pPr>
      <w:pBdr>
        <w:top w:val="single" w:sz="4" w:space="0" w:color="auto"/>
        <w:left w:val="single" w:sz="8" w:space="0" w:color="auto"/>
        <w:right w:val="single" w:sz="4" w:space="0" w:color="auto"/>
      </w:pBdr>
      <w:spacing w:before="100" w:beforeAutospacing="1" w:after="100" w:afterAutospacing="1"/>
      <w:jc w:val="center"/>
    </w:pPr>
    <w:rPr>
      <w:color w:val="000000"/>
      <w:lang w:eastAsia="es-CO"/>
    </w:rPr>
  </w:style>
  <w:style w:type="paragraph" w:customStyle="1" w:styleId="xl76">
    <w:name w:val="xl76"/>
    <w:basedOn w:val="Normal"/>
    <w:rsid w:val="00247B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lang w:eastAsia="es-CO"/>
    </w:rPr>
  </w:style>
  <w:style w:type="paragraph" w:customStyle="1" w:styleId="xl77">
    <w:name w:val="xl77"/>
    <w:basedOn w:val="Normal"/>
    <w:rsid w:val="00247B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lang w:eastAsia="es-CO"/>
    </w:rPr>
  </w:style>
  <w:style w:type="paragraph" w:customStyle="1" w:styleId="xl78">
    <w:name w:val="xl78"/>
    <w:basedOn w:val="Normal"/>
    <w:rsid w:val="00247B01"/>
    <w:pPr>
      <w:spacing w:before="100" w:beforeAutospacing="1" w:after="100" w:afterAutospacing="1"/>
    </w:pPr>
    <w:rPr>
      <w:sz w:val="24"/>
      <w:szCs w:val="24"/>
      <w:lang w:eastAsia="es-CO"/>
    </w:rPr>
  </w:style>
  <w:style w:type="paragraph" w:customStyle="1" w:styleId="xl79">
    <w:name w:val="xl79"/>
    <w:basedOn w:val="Normal"/>
    <w:rsid w:val="00247B01"/>
    <w:pPr>
      <w:pBdr>
        <w:left w:val="single" w:sz="4" w:space="0" w:color="auto"/>
        <w:bottom w:val="single" w:sz="4" w:space="0" w:color="auto"/>
      </w:pBdr>
      <w:spacing w:before="100" w:beforeAutospacing="1" w:after="100" w:afterAutospacing="1"/>
    </w:pPr>
    <w:rPr>
      <w:color w:val="000000"/>
      <w:lang w:eastAsia="es-CO"/>
    </w:rPr>
  </w:style>
  <w:style w:type="paragraph" w:customStyle="1" w:styleId="xl80">
    <w:name w:val="xl80"/>
    <w:basedOn w:val="Normal"/>
    <w:rsid w:val="00247B01"/>
    <w:pPr>
      <w:pBdr>
        <w:top w:val="single" w:sz="4" w:space="0" w:color="auto"/>
        <w:left w:val="single" w:sz="4" w:space="0" w:color="auto"/>
        <w:bottom w:val="single" w:sz="4" w:space="0" w:color="auto"/>
      </w:pBdr>
      <w:spacing w:before="100" w:beforeAutospacing="1" w:after="100" w:afterAutospacing="1"/>
    </w:pPr>
    <w:rPr>
      <w:lang w:eastAsia="es-CO"/>
    </w:rPr>
  </w:style>
  <w:style w:type="paragraph" w:customStyle="1" w:styleId="xl81">
    <w:name w:val="xl81"/>
    <w:basedOn w:val="Normal"/>
    <w:rsid w:val="00247B01"/>
    <w:pPr>
      <w:pBdr>
        <w:top w:val="single" w:sz="4" w:space="0" w:color="auto"/>
        <w:left w:val="single" w:sz="4" w:space="0" w:color="auto"/>
        <w:bottom w:val="single" w:sz="4" w:space="0" w:color="auto"/>
      </w:pBdr>
      <w:spacing w:before="100" w:beforeAutospacing="1" w:after="100" w:afterAutospacing="1"/>
    </w:pPr>
    <w:rPr>
      <w:color w:val="000000"/>
      <w:lang w:eastAsia="es-CO"/>
    </w:rPr>
  </w:style>
  <w:style w:type="paragraph" w:customStyle="1" w:styleId="xl82">
    <w:name w:val="xl82"/>
    <w:basedOn w:val="Normal"/>
    <w:rsid w:val="00247B01"/>
    <w:pPr>
      <w:pBdr>
        <w:top w:val="single" w:sz="8" w:space="0" w:color="auto"/>
        <w:left w:val="single" w:sz="8" w:space="0" w:color="auto"/>
        <w:bottom w:val="single" w:sz="8" w:space="0" w:color="auto"/>
        <w:right w:val="single" w:sz="4" w:space="0" w:color="auto"/>
      </w:pBdr>
      <w:shd w:val="clear" w:color="000000" w:fill="D0D0D0"/>
      <w:spacing w:before="100" w:beforeAutospacing="1" w:after="100" w:afterAutospacing="1"/>
      <w:textAlignment w:val="center"/>
    </w:pPr>
    <w:rPr>
      <w:color w:val="000000"/>
      <w:lang w:eastAsia="es-CO"/>
    </w:rPr>
  </w:style>
  <w:style w:type="paragraph" w:customStyle="1" w:styleId="xl83">
    <w:name w:val="xl83"/>
    <w:basedOn w:val="Normal"/>
    <w:rsid w:val="00247B01"/>
    <w:pPr>
      <w:pBdr>
        <w:top w:val="single" w:sz="8" w:space="0" w:color="auto"/>
        <w:left w:val="single" w:sz="8" w:space="0" w:color="auto"/>
        <w:bottom w:val="single" w:sz="8" w:space="0" w:color="auto"/>
      </w:pBdr>
      <w:shd w:val="clear" w:color="000000" w:fill="D0D0D0"/>
      <w:spacing w:before="100" w:beforeAutospacing="1" w:after="100" w:afterAutospacing="1"/>
    </w:pPr>
    <w:rPr>
      <w:b/>
      <w:bCs/>
      <w:color w:val="000000"/>
      <w:lang w:eastAsia="es-CO"/>
    </w:rPr>
  </w:style>
  <w:style w:type="paragraph" w:customStyle="1" w:styleId="xl84">
    <w:name w:val="xl84"/>
    <w:basedOn w:val="Normal"/>
    <w:rsid w:val="00247B01"/>
    <w:pPr>
      <w:pBdr>
        <w:top w:val="single" w:sz="8" w:space="0" w:color="000000"/>
        <w:left w:val="single" w:sz="4" w:space="0" w:color="auto"/>
        <w:bottom w:val="single" w:sz="8" w:space="0" w:color="auto"/>
        <w:right w:val="single" w:sz="4" w:space="0" w:color="auto"/>
      </w:pBdr>
      <w:shd w:val="clear" w:color="000000" w:fill="DAE9F8"/>
      <w:spacing w:before="100" w:beforeAutospacing="1" w:after="100" w:afterAutospacing="1"/>
      <w:textAlignment w:val="center"/>
    </w:pPr>
    <w:rPr>
      <w:b/>
      <w:bCs/>
      <w:lang w:eastAsia="es-CO"/>
    </w:rPr>
  </w:style>
  <w:style w:type="paragraph" w:customStyle="1" w:styleId="xl85">
    <w:name w:val="xl85"/>
    <w:basedOn w:val="Normal"/>
    <w:rsid w:val="00247B01"/>
    <w:pPr>
      <w:pBdr>
        <w:top w:val="single" w:sz="8" w:space="0" w:color="000000"/>
        <w:left w:val="single" w:sz="4" w:space="0" w:color="auto"/>
        <w:bottom w:val="single" w:sz="8" w:space="0" w:color="auto"/>
      </w:pBdr>
      <w:shd w:val="clear" w:color="000000" w:fill="DAE9F8"/>
      <w:spacing w:before="100" w:beforeAutospacing="1" w:after="100" w:afterAutospacing="1"/>
    </w:pPr>
    <w:rPr>
      <w:b/>
      <w:bCs/>
      <w:lang w:eastAsia="es-CO"/>
    </w:rPr>
  </w:style>
  <w:style w:type="paragraph" w:customStyle="1" w:styleId="xl86">
    <w:name w:val="xl86"/>
    <w:basedOn w:val="Normal"/>
    <w:rsid w:val="00247B01"/>
    <w:pPr>
      <w:pBdr>
        <w:top w:val="single" w:sz="8" w:space="0" w:color="auto"/>
        <w:left w:val="single" w:sz="8" w:space="0" w:color="auto"/>
        <w:bottom w:val="single" w:sz="8" w:space="0" w:color="auto"/>
        <w:right w:val="single" w:sz="4" w:space="0" w:color="auto"/>
      </w:pBdr>
      <w:shd w:val="clear" w:color="000000" w:fill="002060"/>
      <w:spacing w:before="100" w:beforeAutospacing="1" w:after="100" w:afterAutospacing="1"/>
      <w:jc w:val="center"/>
      <w:textAlignment w:val="center"/>
    </w:pPr>
    <w:rPr>
      <w:b/>
      <w:bCs/>
      <w:color w:val="FFFFFF"/>
      <w:lang w:eastAsia="es-CO"/>
    </w:rPr>
  </w:style>
  <w:style w:type="paragraph" w:customStyle="1" w:styleId="xl87">
    <w:name w:val="xl87"/>
    <w:basedOn w:val="Normal"/>
    <w:rsid w:val="00247B01"/>
    <w:pPr>
      <w:pBdr>
        <w:top w:val="single" w:sz="8" w:space="0" w:color="auto"/>
        <w:left w:val="single" w:sz="4" w:space="0" w:color="auto"/>
        <w:bottom w:val="single" w:sz="8" w:space="0" w:color="auto"/>
        <w:right w:val="single" w:sz="4" w:space="0" w:color="auto"/>
      </w:pBdr>
      <w:shd w:val="clear" w:color="000000" w:fill="002060"/>
      <w:spacing w:before="100" w:beforeAutospacing="1" w:after="100" w:afterAutospacing="1"/>
      <w:jc w:val="center"/>
      <w:textAlignment w:val="center"/>
    </w:pPr>
    <w:rPr>
      <w:b/>
      <w:bCs/>
      <w:color w:val="FFFFFF"/>
      <w:lang w:eastAsia="es-CO"/>
    </w:rPr>
  </w:style>
  <w:style w:type="paragraph" w:customStyle="1" w:styleId="xl88">
    <w:name w:val="xl88"/>
    <w:basedOn w:val="Normal"/>
    <w:rsid w:val="00247B01"/>
    <w:pPr>
      <w:pBdr>
        <w:top w:val="single" w:sz="8" w:space="0" w:color="auto"/>
        <w:left w:val="single" w:sz="4" w:space="0" w:color="auto"/>
        <w:bottom w:val="single" w:sz="8" w:space="0" w:color="auto"/>
        <w:right w:val="single" w:sz="8" w:space="0" w:color="auto"/>
      </w:pBdr>
      <w:shd w:val="clear" w:color="000000" w:fill="002060"/>
      <w:spacing w:before="100" w:beforeAutospacing="1" w:after="100" w:afterAutospacing="1"/>
      <w:jc w:val="center"/>
      <w:textAlignment w:val="center"/>
    </w:pPr>
    <w:rPr>
      <w:b/>
      <w:bCs/>
      <w:color w:val="FFFFFF"/>
      <w:lang w:eastAsia="es-CO"/>
    </w:rPr>
  </w:style>
  <w:style w:type="paragraph" w:customStyle="1" w:styleId="xl89">
    <w:name w:val="xl89"/>
    <w:basedOn w:val="Normal"/>
    <w:rsid w:val="00247B01"/>
    <w:pPr>
      <w:pBdr>
        <w:left w:val="single" w:sz="4" w:space="0" w:color="auto"/>
        <w:bottom w:val="single" w:sz="4" w:space="0" w:color="auto"/>
        <w:right w:val="single" w:sz="4" w:space="0" w:color="auto"/>
      </w:pBdr>
      <w:spacing w:before="100" w:beforeAutospacing="1" w:after="100" w:afterAutospacing="1"/>
      <w:jc w:val="center"/>
    </w:pPr>
    <w:rPr>
      <w:sz w:val="24"/>
      <w:szCs w:val="24"/>
      <w:lang w:eastAsia="es-CO"/>
    </w:rPr>
  </w:style>
  <w:style w:type="paragraph" w:customStyle="1" w:styleId="xl90">
    <w:name w:val="xl90"/>
    <w:basedOn w:val="Normal"/>
    <w:rsid w:val="00247B01"/>
    <w:pPr>
      <w:pBdr>
        <w:left w:val="single" w:sz="4" w:space="0" w:color="auto"/>
        <w:bottom w:val="single" w:sz="4" w:space="0" w:color="auto"/>
        <w:right w:val="single" w:sz="8" w:space="0" w:color="auto"/>
      </w:pBdr>
      <w:spacing w:before="100" w:beforeAutospacing="1" w:after="100" w:afterAutospacing="1"/>
      <w:jc w:val="center"/>
    </w:pPr>
    <w:rPr>
      <w:sz w:val="24"/>
      <w:szCs w:val="24"/>
      <w:lang w:eastAsia="es-CO"/>
    </w:rPr>
  </w:style>
  <w:style w:type="paragraph" w:customStyle="1" w:styleId="xl91">
    <w:name w:val="xl91"/>
    <w:basedOn w:val="Normal"/>
    <w:rsid w:val="00247B01"/>
    <w:pPr>
      <w:pBdr>
        <w:left w:val="single" w:sz="4" w:space="0" w:color="auto"/>
        <w:bottom w:val="single" w:sz="4" w:space="0" w:color="auto"/>
        <w:right w:val="single" w:sz="8" w:space="0" w:color="auto"/>
      </w:pBdr>
      <w:spacing w:before="100" w:beforeAutospacing="1" w:after="100" w:afterAutospacing="1"/>
      <w:jc w:val="center"/>
    </w:pPr>
    <w:rPr>
      <w:b/>
      <w:bCs/>
      <w:sz w:val="24"/>
      <w:szCs w:val="24"/>
      <w:lang w:eastAsia="es-CO"/>
    </w:rPr>
  </w:style>
  <w:style w:type="paragraph" w:customStyle="1" w:styleId="xl92">
    <w:name w:val="xl92"/>
    <w:basedOn w:val="Normal"/>
    <w:rsid w:val="00247B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es-CO"/>
    </w:rPr>
  </w:style>
  <w:style w:type="paragraph" w:customStyle="1" w:styleId="xl93">
    <w:name w:val="xl93"/>
    <w:basedOn w:val="Normal"/>
    <w:rsid w:val="00247B0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lang w:eastAsia="es-CO"/>
    </w:rPr>
  </w:style>
  <w:style w:type="paragraph" w:customStyle="1" w:styleId="xl94">
    <w:name w:val="xl94"/>
    <w:basedOn w:val="Normal"/>
    <w:rsid w:val="00247B0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sz w:val="24"/>
      <w:szCs w:val="24"/>
      <w:lang w:eastAsia="es-CO"/>
    </w:rPr>
  </w:style>
  <w:style w:type="paragraph" w:customStyle="1" w:styleId="xl95">
    <w:name w:val="xl95"/>
    <w:basedOn w:val="Normal"/>
    <w:rsid w:val="00247B01"/>
    <w:pPr>
      <w:pBdr>
        <w:top w:val="single" w:sz="8" w:space="0" w:color="auto"/>
        <w:left w:val="single" w:sz="4" w:space="0" w:color="auto"/>
        <w:bottom w:val="single" w:sz="8" w:space="0" w:color="auto"/>
      </w:pBdr>
      <w:shd w:val="clear" w:color="000000" w:fill="D0D0D0"/>
      <w:spacing w:before="100" w:beforeAutospacing="1" w:after="100" w:afterAutospacing="1"/>
      <w:jc w:val="center"/>
    </w:pPr>
    <w:rPr>
      <w:b/>
      <w:bCs/>
      <w:color w:val="000000"/>
      <w:lang w:eastAsia="es-CO"/>
    </w:rPr>
  </w:style>
  <w:style w:type="paragraph" w:customStyle="1" w:styleId="xl96">
    <w:name w:val="xl96"/>
    <w:basedOn w:val="Normal"/>
    <w:rsid w:val="00247B01"/>
    <w:pPr>
      <w:pBdr>
        <w:top w:val="single" w:sz="8" w:space="0" w:color="auto"/>
        <w:left w:val="single" w:sz="4" w:space="0" w:color="auto"/>
        <w:bottom w:val="single" w:sz="8" w:space="0" w:color="auto"/>
        <w:right w:val="single" w:sz="8" w:space="0" w:color="auto"/>
      </w:pBdr>
      <w:shd w:val="clear" w:color="000000" w:fill="D0D0D0"/>
      <w:spacing w:before="100" w:beforeAutospacing="1" w:after="100" w:afterAutospacing="1"/>
      <w:jc w:val="center"/>
    </w:pPr>
    <w:rPr>
      <w:b/>
      <w:bCs/>
      <w:color w:val="000000"/>
      <w:lang w:eastAsia="es-CO"/>
    </w:rPr>
  </w:style>
  <w:style w:type="paragraph" w:customStyle="1" w:styleId="xl97">
    <w:name w:val="xl97"/>
    <w:basedOn w:val="Normal"/>
    <w:rsid w:val="00247B01"/>
    <w:pPr>
      <w:pBdr>
        <w:top w:val="single" w:sz="8" w:space="0" w:color="auto"/>
        <w:left w:val="single" w:sz="4" w:space="0" w:color="auto"/>
        <w:bottom w:val="single" w:sz="8" w:space="0" w:color="auto"/>
      </w:pBdr>
      <w:shd w:val="clear" w:color="000000" w:fill="DAE9F8"/>
      <w:spacing w:before="100" w:beforeAutospacing="1" w:after="100" w:afterAutospacing="1"/>
      <w:jc w:val="center"/>
    </w:pPr>
    <w:rPr>
      <w:b/>
      <w:bCs/>
      <w:color w:val="000000"/>
      <w:lang w:eastAsia="es-CO"/>
    </w:rPr>
  </w:style>
  <w:style w:type="paragraph" w:customStyle="1" w:styleId="xl98">
    <w:name w:val="xl98"/>
    <w:basedOn w:val="Normal"/>
    <w:rsid w:val="00247B01"/>
    <w:pPr>
      <w:pBdr>
        <w:top w:val="single" w:sz="8" w:space="0" w:color="auto"/>
        <w:left w:val="single" w:sz="4" w:space="0" w:color="auto"/>
        <w:bottom w:val="single" w:sz="8" w:space="0" w:color="auto"/>
        <w:right w:val="single" w:sz="8" w:space="0" w:color="auto"/>
      </w:pBdr>
      <w:shd w:val="clear" w:color="000000" w:fill="DAE9F8"/>
      <w:spacing w:before="100" w:beforeAutospacing="1" w:after="100" w:afterAutospacing="1"/>
      <w:jc w:val="center"/>
    </w:pPr>
    <w:rPr>
      <w:b/>
      <w:bCs/>
      <w:color w:val="000000"/>
      <w:lang w:eastAsia="es-CO"/>
    </w:rPr>
  </w:style>
  <w:style w:type="paragraph" w:customStyle="1" w:styleId="xl99">
    <w:name w:val="xl99"/>
    <w:basedOn w:val="Normal"/>
    <w:rsid w:val="00247B01"/>
    <w:pPr>
      <w:spacing w:before="100" w:beforeAutospacing="1" w:after="100" w:afterAutospacing="1"/>
      <w:jc w:val="center"/>
    </w:pPr>
    <w:rPr>
      <w:sz w:val="24"/>
      <w:szCs w:val="24"/>
      <w:lang w:eastAsia="es-CO"/>
    </w:rPr>
  </w:style>
  <w:style w:type="paragraph" w:customStyle="1" w:styleId="xl100">
    <w:name w:val="xl100"/>
    <w:basedOn w:val="Normal"/>
    <w:rsid w:val="00247B01"/>
    <w:pPr>
      <w:spacing w:before="100" w:beforeAutospacing="1" w:after="100" w:afterAutospacing="1"/>
      <w:jc w:val="center"/>
    </w:pPr>
    <w:rPr>
      <w:b/>
      <w:bCs/>
      <w:sz w:val="24"/>
      <w:szCs w:val="24"/>
      <w:lang w:eastAsia="es-CO"/>
    </w:rPr>
  </w:style>
  <w:style w:type="paragraph" w:customStyle="1" w:styleId="xl101">
    <w:name w:val="xl101"/>
    <w:basedOn w:val="Normal"/>
    <w:rsid w:val="00247B01"/>
    <w:pPr>
      <w:pBdr>
        <w:top w:val="single" w:sz="8" w:space="0" w:color="auto"/>
        <w:left w:val="single" w:sz="4" w:space="0" w:color="auto"/>
        <w:bottom w:val="single" w:sz="8" w:space="0" w:color="auto"/>
      </w:pBdr>
      <w:shd w:val="clear" w:color="000000" w:fill="D0D0D0"/>
      <w:spacing w:before="100" w:beforeAutospacing="1" w:after="100" w:afterAutospacing="1"/>
      <w:textAlignment w:val="center"/>
    </w:pPr>
    <w:rPr>
      <w:b/>
      <w:bCs/>
      <w:color w:val="000000"/>
      <w:sz w:val="18"/>
      <w:szCs w:val="18"/>
      <w:lang w:eastAsia="es-CO"/>
    </w:rPr>
  </w:style>
  <w:style w:type="paragraph" w:customStyle="1" w:styleId="xl102">
    <w:name w:val="xl102"/>
    <w:basedOn w:val="Normal"/>
    <w:rsid w:val="00247B01"/>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color w:val="000000"/>
      <w:lang w:eastAsia="es-CO"/>
    </w:rPr>
  </w:style>
  <w:style w:type="paragraph" w:customStyle="1" w:styleId="xl103">
    <w:name w:val="xl103"/>
    <w:basedOn w:val="Normal"/>
    <w:rsid w:val="00247B01"/>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color w:val="000000"/>
      <w:sz w:val="18"/>
      <w:szCs w:val="18"/>
      <w:lang w:eastAsia="es-CO"/>
    </w:rPr>
  </w:style>
  <w:style w:type="paragraph" w:customStyle="1" w:styleId="xl104">
    <w:name w:val="xl104"/>
    <w:basedOn w:val="Normal"/>
    <w:rsid w:val="00247B01"/>
    <w:pPr>
      <w:pBdr>
        <w:left w:val="single" w:sz="4" w:space="0" w:color="auto"/>
        <w:bottom w:val="single" w:sz="4" w:space="0" w:color="auto"/>
      </w:pBdr>
      <w:shd w:val="clear" w:color="000000" w:fill="FFC000"/>
      <w:spacing w:before="100" w:beforeAutospacing="1" w:after="100" w:afterAutospacing="1"/>
    </w:pPr>
    <w:rPr>
      <w:color w:val="000000"/>
      <w:lang w:eastAsia="es-CO"/>
    </w:rPr>
  </w:style>
  <w:style w:type="paragraph" w:customStyle="1" w:styleId="xl105">
    <w:name w:val="xl105"/>
    <w:basedOn w:val="Normal"/>
    <w:rsid w:val="00247B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sz w:val="24"/>
      <w:szCs w:val="24"/>
      <w:lang w:eastAsia="es-CO"/>
    </w:rPr>
  </w:style>
  <w:style w:type="paragraph" w:customStyle="1" w:styleId="xl106">
    <w:name w:val="xl106"/>
    <w:basedOn w:val="Normal"/>
    <w:rsid w:val="00247B01"/>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center"/>
    </w:pPr>
    <w:rPr>
      <w:sz w:val="24"/>
      <w:szCs w:val="24"/>
      <w:lang w:eastAsia="es-CO"/>
    </w:rPr>
  </w:style>
  <w:style w:type="paragraph" w:customStyle="1" w:styleId="xl107">
    <w:name w:val="xl107"/>
    <w:basedOn w:val="Normal"/>
    <w:rsid w:val="00247B01"/>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center"/>
    </w:pPr>
    <w:rPr>
      <w:b/>
      <w:bCs/>
      <w:sz w:val="24"/>
      <w:szCs w:val="24"/>
      <w:lang w:eastAsia="es-CO"/>
    </w:rPr>
  </w:style>
  <w:style w:type="paragraph" w:customStyle="1" w:styleId="xl108">
    <w:name w:val="xl108"/>
    <w:basedOn w:val="Normal"/>
    <w:rsid w:val="00247B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color w:val="000000"/>
      <w:lang w:eastAsia="es-CO"/>
    </w:rPr>
  </w:style>
  <w:style w:type="paragraph" w:customStyle="1" w:styleId="xl109">
    <w:name w:val="xl109"/>
    <w:basedOn w:val="Normal"/>
    <w:rsid w:val="00247B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color w:val="000000"/>
      <w:sz w:val="18"/>
      <w:szCs w:val="18"/>
      <w:lang w:eastAsia="es-CO"/>
    </w:rPr>
  </w:style>
  <w:style w:type="paragraph" w:customStyle="1" w:styleId="xl110">
    <w:name w:val="xl110"/>
    <w:basedOn w:val="Normal"/>
    <w:rsid w:val="00247B01"/>
    <w:pPr>
      <w:pBdr>
        <w:top w:val="single" w:sz="4" w:space="0" w:color="auto"/>
        <w:left w:val="single" w:sz="4" w:space="0" w:color="auto"/>
        <w:bottom w:val="single" w:sz="4" w:space="0" w:color="auto"/>
      </w:pBdr>
      <w:shd w:val="clear" w:color="000000" w:fill="FFC000"/>
      <w:spacing w:before="100" w:beforeAutospacing="1" w:after="100" w:afterAutospacing="1"/>
    </w:pPr>
    <w:rPr>
      <w:lang w:eastAsia="es-CO"/>
    </w:rPr>
  </w:style>
  <w:style w:type="paragraph" w:customStyle="1" w:styleId="xl111">
    <w:name w:val="xl111"/>
    <w:basedOn w:val="Normal"/>
    <w:rsid w:val="00247B01"/>
    <w:pPr>
      <w:pBdr>
        <w:top w:val="single" w:sz="4" w:space="0" w:color="auto"/>
        <w:left w:val="single" w:sz="4" w:space="0" w:color="auto"/>
        <w:bottom w:val="single" w:sz="4" w:space="0" w:color="auto"/>
      </w:pBdr>
      <w:shd w:val="clear" w:color="000000" w:fill="FFC000"/>
      <w:spacing w:before="100" w:beforeAutospacing="1" w:after="100" w:afterAutospacing="1"/>
    </w:pPr>
    <w:rPr>
      <w:color w:val="000000"/>
      <w:lang w:eastAsia="es-CO"/>
    </w:rPr>
  </w:style>
  <w:style w:type="paragraph" w:customStyle="1" w:styleId="xl112">
    <w:name w:val="xl112"/>
    <w:basedOn w:val="Normal"/>
    <w:rsid w:val="00247B01"/>
    <w:pPr>
      <w:pBdr>
        <w:top w:val="single" w:sz="4" w:space="0" w:color="auto"/>
        <w:left w:val="single" w:sz="4" w:space="0" w:color="auto"/>
        <w:right w:val="single" w:sz="4" w:space="0" w:color="auto"/>
      </w:pBdr>
      <w:shd w:val="clear" w:color="000000" w:fill="FFC000"/>
      <w:spacing w:before="100" w:beforeAutospacing="1" w:after="100" w:afterAutospacing="1"/>
      <w:textAlignment w:val="center"/>
    </w:pPr>
    <w:rPr>
      <w:color w:val="000000"/>
      <w:lang w:eastAsia="es-CO"/>
    </w:rPr>
  </w:style>
  <w:style w:type="paragraph" w:customStyle="1" w:styleId="xl113">
    <w:name w:val="xl113"/>
    <w:basedOn w:val="Normal"/>
    <w:rsid w:val="00247B01"/>
    <w:pPr>
      <w:pBdr>
        <w:top w:val="single" w:sz="4" w:space="0" w:color="auto"/>
        <w:left w:val="single" w:sz="4" w:space="0" w:color="auto"/>
        <w:right w:val="single" w:sz="4" w:space="0" w:color="auto"/>
      </w:pBdr>
      <w:shd w:val="clear" w:color="000000" w:fill="FFC000"/>
      <w:spacing w:before="100" w:beforeAutospacing="1" w:after="100" w:afterAutospacing="1"/>
      <w:jc w:val="right"/>
      <w:textAlignment w:val="center"/>
    </w:pPr>
    <w:rPr>
      <w:color w:val="000000"/>
      <w:sz w:val="18"/>
      <w:szCs w:val="18"/>
      <w:lang w:eastAsia="es-CO"/>
    </w:rPr>
  </w:style>
  <w:style w:type="paragraph" w:customStyle="1" w:styleId="xl114">
    <w:name w:val="xl114"/>
    <w:basedOn w:val="Normal"/>
    <w:rsid w:val="00247B01"/>
    <w:pPr>
      <w:pBdr>
        <w:top w:val="single" w:sz="8" w:space="0" w:color="auto"/>
        <w:left w:val="single" w:sz="8" w:space="0" w:color="auto"/>
        <w:bottom w:val="single" w:sz="8" w:space="0" w:color="auto"/>
      </w:pBdr>
      <w:shd w:val="clear" w:color="000000" w:fill="D0D0D0"/>
      <w:spacing w:before="100" w:beforeAutospacing="1" w:after="100" w:afterAutospacing="1"/>
    </w:pPr>
    <w:rPr>
      <w:b/>
      <w:bCs/>
      <w:color w:val="FF0000"/>
      <w:lang w:eastAsia="es-CO"/>
    </w:rPr>
  </w:style>
  <w:style w:type="paragraph" w:customStyle="1" w:styleId="xl115">
    <w:name w:val="xl115"/>
    <w:basedOn w:val="Normal"/>
    <w:rsid w:val="00247B01"/>
    <w:pPr>
      <w:pBdr>
        <w:top w:val="single" w:sz="8" w:space="0" w:color="auto"/>
        <w:left w:val="single" w:sz="4" w:space="0" w:color="auto"/>
      </w:pBdr>
      <w:spacing w:before="100" w:beforeAutospacing="1" w:after="100" w:afterAutospacing="1"/>
      <w:textAlignment w:val="center"/>
    </w:pPr>
    <w:rPr>
      <w:color w:val="000000"/>
      <w:lang w:eastAsia="es-CO"/>
    </w:rPr>
  </w:style>
  <w:style w:type="paragraph" w:customStyle="1" w:styleId="xl116">
    <w:name w:val="xl116"/>
    <w:basedOn w:val="Normal"/>
    <w:rsid w:val="00247B01"/>
    <w:pPr>
      <w:pBdr>
        <w:left w:val="single" w:sz="4" w:space="0" w:color="auto"/>
      </w:pBdr>
      <w:spacing w:before="100" w:beforeAutospacing="1" w:after="100" w:afterAutospacing="1"/>
      <w:textAlignment w:val="center"/>
    </w:pPr>
    <w:rPr>
      <w:color w:val="000000"/>
      <w:lang w:eastAsia="es-CO"/>
    </w:rPr>
  </w:style>
  <w:style w:type="paragraph" w:customStyle="1" w:styleId="xl117">
    <w:name w:val="xl117"/>
    <w:basedOn w:val="Normal"/>
    <w:rsid w:val="00247B01"/>
    <w:pPr>
      <w:pBdr>
        <w:left w:val="single" w:sz="4" w:space="0" w:color="auto"/>
        <w:bottom w:val="single" w:sz="8" w:space="0" w:color="auto"/>
      </w:pBdr>
      <w:spacing w:before="100" w:beforeAutospacing="1" w:after="100" w:afterAutospacing="1"/>
      <w:textAlignment w:val="center"/>
    </w:pPr>
    <w:rPr>
      <w:color w:val="000000"/>
      <w:lang w:eastAsia="es-CO"/>
    </w:rPr>
  </w:style>
  <w:style w:type="paragraph" w:customStyle="1" w:styleId="xl118">
    <w:name w:val="xl118"/>
    <w:basedOn w:val="Normal"/>
    <w:rsid w:val="00247B01"/>
    <w:pPr>
      <w:pBdr>
        <w:top w:val="single" w:sz="8" w:space="0" w:color="auto"/>
        <w:left w:val="single" w:sz="4" w:space="0" w:color="auto"/>
      </w:pBdr>
      <w:shd w:val="clear" w:color="000000" w:fill="FFC000"/>
      <w:spacing w:before="100" w:beforeAutospacing="1" w:after="100" w:afterAutospacing="1"/>
      <w:textAlignment w:val="center"/>
    </w:pPr>
    <w:rPr>
      <w:color w:val="000000"/>
      <w:lang w:eastAsia="es-CO"/>
    </w:rPr>
  </w:style>
  <w:style w:type="paragraph" w:customStyle="1" w:styleId="xl119">
    <w:name w:val="xl119"/>
    <w:basedOn w:val="Normal"/>
    <w:rsid w:val="00247B01"/>
    <w:pPr>
      <w:pBdr>
        <w:left w:val="single" w:sz="4" w:space="0" w:color="auto"/>
      </w:pBdr>
      <w:shd w:val="clear" w:color="000000" w:fill="FFC000"/>
      <w:spacing w:before="100" w:beforeAutospacing="1" w:after="100" w:afterAutospacing="1"/>
      <w:textAlignment w:val="center"/>
    </w:pPr>
    <w:rPr>
      <w:color w:val="000000"/>
      <w:lang w:eastAsia="es-CO"/>
    </w:rPr>
  </w:style>
  <w:style w:type="paragraph" w:customStyle="1" w:styleId="xl120">
    <w:name w:val="xl120"/>
    <w:basedOn w:val="Normal"/>
    <w:rsid w:val="00247B01"/>
    <w:pPr>
      <w:pBdr>
        <w:left w:val="single" w:sz="4" w:space="0" w:color="auto"/>
        <w:bottom w:val="single" w:sz="8" w:space="0" w:color="auto"/>
      </w:pBdr>
      <w:shd w:val="clear" w:color="000000" w:fill="FFC000"/>
      <w:spacing w:before="100" w:beforeAutospacing="1" w:after="100" w:afterAutospacing="1"/>
      <w:textAlignment w:val="center"/>
    </w:pPr>
    <w:rPr>
      <w:color w:val="000000"/>
      <w:lang w:eastAsia="es-CO"/>
    </w:rPr>
  </w:style>
  <w:style w:type="paragraph" w:customStyle="1" w:styleId="xl121">
    <w:name w:val="xl121"/>
    <w:basedOn w:val="Normal"/>
    <w:rsid w:val="00247B01"/>
    <w:pPr>
      <w:pBdr>
        <w:left w:val="single" w:sz="4" w:space="0" w:color="auto"/>
        <w:bottom w:val="single" w:sz="8" w:space="0" w:color="000000"/>
      </w:pBdr>
      <w:spacing w:before="100" w:beforeAutospacing="1" w:after="100" w:afterAutospacing="1"/>
      <w:textAlignment w:val="center"/>
    </w:pPr>
    <w:rPr>
      <w:color w:val="000000"/>
      <w:lang w:eastAsia="es-CO"/>
    </w:rPr>
  </w:style>
  <w:style w:type="paragraph" w:customStyle="1" w:styleId="xl122">
    <w:name w:val="xl122"/>
    <w:basedOn w:val="Normal"/>
    <w:rsid w:val="00247B01"/>
    <w:pPr>
      <w:pBdr>
        <w:left w:val="single" w:sz="8" w:space="0" w:color="auto"/>
        <w:bottom w:val="single" w:sz="8" w:space="0" w:color="auto"/>
      </w:pBdr>
      <w:shd w:val="clear" w:color="000000" w:fill="DAE9F8"/>
      <w:spacing w:before="100" w:beforeAutospacing="1" w:after="100" w:afterAutospacing="1"/>
      <w:jc w:val="center"/>
    </w:pPr>
    <w:rPr>
      <w:b/>
      <w:bCs/>
      <w:lang w:eastAsia="es-CO"/>
    </w:rPr>
  </w:style>
  <w:style w:type="paragraph" w:customStyle="1" w:styleId="xl123">
    <w:name w:val="xl123"/>
    <w:basedOn w:val="Normal"/>
    <w:rsid w:val="00247B01"/>
    <w:pPr>
      <w:pBdr>
        <w:bottom w:val="single" w:sz="8" w:space="0" w:color="auto"/>
      </w:pBdr>
      <w:shd w:val="clear" w:color="000000" w:fill="DAE9F8"/>
      <w:spacing w:before="100" w:beforeAutospacing="1" w:after="100" w:afterAutospacing="1"/>
      <w:jc w:val="center"/>
    </w:pPr>
    <w:rPr>
      <w:b/>
      <w:bCs/>
      <w:lang w:eastAsia="es-CO"/>
    </w:rPr>
  </w:style>
  <w:style w:type="paragraph" w:customStyle="1" w:styleId="xl124">
    <w:name w:val="xl124"/>
    <w:basedOn w:val="Normal"/>
    <w:rsid w:val="00247B01"/>
    <w:pPr>
      <w:pBdr>
        <w:bottom w:val="single" w:sz="8" w:space="0" w:color="auto"/>
        <w:right w:val="single" w:sz="4" w:space="0" w:color="auto"/>
      </w:pBdr>
      <w:shd w:val="clear" w:color="000000" w:fill="DAE9F8"/>
      <w:spacing w:before="100" w:beforeAutospacing="1" w:after="100" w:afterAutospacing="1"/>
      <w:jc w:val="center"/>
    </w:pPr>
    <w:rPr>
      <w:b/>
      <w:bCs/>
      <w:lang w:eastAsia="es-CO"/>
    </w:rPr>
  </w:style>
  <w:style w:type="character" w:customStyle="1" w:styleId="Ttulo7Car1">
    <w:name w:val="Título 7 Car1"/>
    <w:basedOn w:val="Fuentedeprrafopredeter"/>
    <w:semiHidden/>
    <w:rsid w:val="00247B01"/>
    <w:rPr>
      <w:rFonts w:asciiTheme="majorHAnsi" w:eastAsiaTheme="majorEastAsia" w:hAnsiTheme="majorHAnsi" w:cstheme="majorBidi"/>
      <w:i/>
      <w:iCs/>
      <w:color w:val="243F60" w:themeColor="accent1" w:themeShade="7F"/>
      <w:lang w:eastAsia="es-ES"/>
    </w:rPr>
  </w:style>
  <w:style w:type="character" w:customStyle="1" w:styleId="Ttulo8Car1">
    <w:name w:val="Título 8 Car1"/>
    <w:basedOn w:val="Fuentedeprrafopredeter"/>
    <w:semiHidden/>
    <w:rsid w:val="00247B01"/>
    <w:rPr>
      <w:rFonts w:asciiTheme="majorHAnsi" w:eastAsiaTheme="majorEastAsia" w:hAnsiTheme="majorHAnsi" w:cstheme="majorBidi"/>
      <w:color w:val="272727" w:themeColor="text1" w:themeTint="D8"/>
      <w:sz w:val="21"/>
      <w:szCs w:val="21"/>
      <w:lang w:eastAsia="es-ES"/>
    </w:rPr>
  </w:style>
  <w:style w:type="character" w:customStyle="1" w:styleId="Ttulo9Car1">
    <w:name w:val="Título 9 Car1"/>
    <w:basedOn w:val="Fuentedeprrafopredeter"/>
    <w:semiHidden/>
    <w:rsid w:val="00247B01"/>
    <w:rPr>
      <w:rFonts w:asciiTheme="majorHAnsi" w:eastAsiaTheme="majorEastAsia" w:hAnsiTheme="majorHAnsi" w:cstheme="majorBidi"/>
      <w:i/>
      <w:iCs/>
      <w:color w:val="272727" w:themeColor="text1" w:themeTint="D8"/>
      <w:sz w:val="21"/>
      <w:szCs w:val="21"/>
      <w:lang w:eastAsia="es-ES"/>
    </w:rPr>
  </w:style>
  <w:style w:type="character" w:customStyle="1" w:styleId="Ttulo3Car1">
    <w:name w:val="Título 3 Car1"/>
    <w:basedOn w:val="Fuentedeprrafopredeter"/>
    <w:semiHidden/>
    <w:rsid w:val="00247B01"/>
    <w:rPr>
      <w:rFonts w:asciiTheme="majorHAnsi" w:eastAsiaTheme="majorEastAsia" w:hAnsiTheme="majorHAnsi" w:cstheme="majorBidi"/>
      <w:color w:val="243F60" w:themeColor="accent1" w:themeShade="7F"/>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5527">
      <w:bodyDiv w:val="1"/>
      <w:marLeft w:val="0"/>
      <w:marRight w:val="0"/>
      <w:marTop w:val="0"/>
      <w:marBottom w:val="0"/>
      <w:divBdr>
        <w:top w:val="none" w:sz="0" w:space="0" w:color="auto"/>
        <w:left w:val="none" w:sz="0" w:space="0" w:color="auto"/>
        <w:bottom w:val="none" w:sz="0" w:space="0" w:color="auto"/>
        <w:right w:val="none" w:sz="0" w:space="0" w:color="auto"/>
      </w:divBdr>
      <w:divsChild>
        <w:div w:id="49545666">
          <w:marLeft w:val="0"/>
          <w:marRight w:val="0"/>
          <w:marTop w:val="0"/>
          <w:marBottom w:val="0"/>
          <w:divBdr>
            <w:top w:val="none" w:sz="0" w:space="0" w:color="auto"/>
            <w:left w:val="none" w:sz="0" w:space="0" w:color="auto"/>
            <w:bottom w:val="none" w:sz="0" w:space="0" w:color="auto"/>
            <w:right w:val="none" w:sz="0" w:space="0" w:color="auto"/>
          </w:divBdr>
        </w:div>
      </w:divsChild>
    </w:div>
    <w:div w:id="40711767">
      <w:marLeft w:val="0"/>
      <w:marRight w:val="0"/>
      <w:marTop w:val="0"/>
      <w:marBottom w:val="0"/>
      <w:divBdr>
        <w:top w:val="none" w:sz="0" w:space="0" w:color="auto"/>
        <w:left w:val="none" w:sz="0" w:space="0" w:color="auto"/>
        <w:bottom w:val="none" w:sz="0" w:space="0" w:color="auto"/>
        <w:right w:val="none" w:sz="0" w:space="0" w:color="auto"/>
      </w:divBdr>
    </w:div>
    <w:div w:id="40711768">
      <w:marLeft w:val="0"/>
      <w:marRight w:val="0"/>
      <w:marTop w:val="0"/>
      <w:marBottom w:val="0"/>
      <w:divBdr>
        <w:top w:val="none" w:sz="0" w:space="0" w:color="auto"/>
        <w:left w:val="none" w:sz="0" w:space="0" w:color="auto"/>
        <w:bottom w:val="none" w:sz="0" w:space="0" w:color="auto"/>
        <w:right w:val="none" w:sz="0" w:space="0" w:color="auto"/>
      </w:divBdr>
    </w:div>
    <w:div w:id="40711769">
      <w:marLeft w:val="0"/>
      <w:marRight w:val="0"/>
      <w:marTop w:val="0"/>
      <w:marBottom w:val="0"/>
      <w:divBdr>
        <w:top w:val="none" w:sz="0" w:space="0" w:color="auto"/>
        <w:left w:val="none" w:sz="0" w:space="0" w:color="auto"/>
        <w:bottom w:val="none" w:sz="0" w:space="0" w:color="auto"/>
        <w:right w:val="none" w:sz="0" w:space="0" w:color="auto"/>
      </w:divBdr>
    </w:div>
    <w:div w:id="40711770">
      <w:marLeft w:val="0"/>
      <w:marRight w:val="0"/>
      <w:marTop w:val="0"/>
      <w:marBottom w:val="0"/>
      <w:divBdr>
        <w:top w:val="none" w:sz="0" w:space="0" w:color="auto"/>
        <w:left w:val="none" w:sz="0" w:space="0" w:color="auto"/>
        <w:bottom w:val="none" w:sz="0" w:space="0" w:color="auto"/>
        <w:right w:val="none" w:sz="0" w:space="0" w:color="auto"/>
      </w:divBdr>
      <w:divsChild>
        <w:div w:id="40711773">
          <w:marLeft w:val="0"/>
          <w:marRight w:val="0"/>
          <w:marTop w:val="0"/>
          <w:marBottom w:val="0"/>
          <w:divBdr>
            <w:top w:val="none" w:sz="0" w:space="0" w:color="auto"/>
            <w:left w:val="none" w:sz="0" w:space="0" w:color="auto"/>
            <w:bottom w:val="none" w:sz="0" w:space="0" w:color="auto"/>
            <w:right w:val="none" w:sz="0" w:space="0" w:color="auto"/>
          </w:divBdr>
        </w:div>
      </w:divsChild>
    </w:div>
    <w:div w:id="40711771">
      <w:marLeft w:val="0"/>
      <w:marRight w:val="0"/>
      <w:marTop w:val="0"/>
      <w:marBottom w:val="0"/>
      <w:divBdr>
        <w:top w:val="none" w:sz="0" w:space="0" w:color="auto"/>
        <w:left w:val="none" w:sz="0" w:space="0" w:color="auto"/>
        <w:bottom w:val="none" w:sz="0" w:space="0" w:color="auto"/>
        <w:right w:val="none" w:sz="0" w:space="0" w:color="auto"/>
      </w:divBdr>
    </w:div>
    <w:div w:id="40711772">
      <w:marLeft w:val="0"/>
      <w:marRight w:val="0"/>
      <w:marTop w:val="0"/>
      <w:marBottom w:val="0"/>
      <w:divBdr>
        <w:top w:val="none" w:sz="0" w:space="0" w:color="auto"/>
        <w:left w:val="none" w:sz="0" w:space="0" w:color="auto"/>
        <w:bottom w:val="none" w:sz="0" w:space="0" w:color="auto"/>
        <w:right w:val="none" w:sz="0" w:space="0" w:color="auto"/>
      </w:divBdr>
    </w:div>
    <w:div w:id="40711774">
      <w:marLeft w:val="0"/>
      <w:marRight w:val="0"/>
      <w:marTop w:val="0"/>
      <w:marBottom w:val="0"/>
      <w:divBdr>
        <w:top w:val="none" w:sz="0" w:space="0" w:color="auto"/>
        <w:left w:val="none" w:sz="0" w:space="0" w:color="auto"/>
        <w:bottom w:val="none" w:sz="0" w:space="0" w:color="auto"/>
        <w:right w:val="none" w:sz="0" w:space="0" w:color="auto"/>
      </w:divBdr>
    </w:div>
    <w:div w:id="53286719">
      <w:bodyDiv w:val="1"/>
      <w:marLeft w:val="0"/>
      <w:marRight w:val="0"/>
      <w:marTop w:val="0"/>
      <w:marBottom w:val="0"/>
      <w:divBdr>
        <w:top w:val="none" w:sz="0" w:space="0" w:color="auto"/>
        <w:left w:val="none" w:sz="0" w:space="0" w:color="auto"/>
        <w:bottom w:val="none" w:sz="0" w:space="0" w:color="auto"/>
        <w:right w:val="none" w:sz="0" w:space="0" w:color="auto"/>
      </w:divBdr>
      <w:divsChild>
        <w:div w:id="1818298322">
          <w:marLeft w:val="0"/>
          <w:marRight w:val="0"/>
          <w:marTop w:val="0"/>
          <w:marBottom w:val="0"/>
          <w:divBdr>
            <w:top w:val="none" w:sz="0" w:space="0" w:color="auto"/>
            <w:left w:val="none" w:sz="0" w:space="0" w:color="auto"/>
            <w:bottom w:val="none" w:sz="0" w:space="0" w:color="auto"/>
            <w:right w:val="none" w:sz="0" w:space="0" w:color="auto"/>
          </w:divBdr>
        </w:div>
      </w:divsChild>
    </w:div>
    <w:div w:id="181207548">
      <w:bodyDiv w:val="1"/>
      <w:marLeft w:val="0"/>
      <w:marRight w:val="0"/>
      <w:marTop w:val="0"/>
      <w:marBottom w:val="0"/>
      <w:divBdr>
        <w:top w:val="none" w:sz="0" w:space="0" w:color="auto"/>
        <w:left w:val="none" w:sz="0" w:space="0" w:color="auto"/>
        <w:bottom w:val="none" w:sz="0" w:space="0" w:color="auto"/>
        <w:right w:val="none" w:sz="0" w:space="0" w:color="auto"/>
      </w:divBdr>
      <w:divsChild>
        <w:div w:id="1381126527">
          <w:marLeft w:val="0"/>
          <w:marRight w:val="0"/>
          <w:marTop w:val="0"/>
          <w:marBottom w:val="0"/>
          <w:divBdr>
            <w:top w:val="none" w:sz="0" w:space="0" w:color="auto"/>
            <w:left w:val="none" w:sz="0" w:space="0" w:color="auto"/>
            <w:bottom w:val="none" w:sz="0" w:space="0" w:color="auto"/>
            <w:right w:val="none" w:sz="0" w:space="0" w:color="auto"/>
          </w:divBdr>
          <w:divsChild>
            <w:div w:id="49094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811478">
      <w:bodyDiv w:val="1"/>
      <w:marLeft w:val="0"/>
      <w:marRight w:val="0"/>
      <w:marTop w:val="0"/>
      <w:marBottom w:val="0"/>
      <w:divBdr>
        <w:top w:val="none" w:sz="0" w:space="0" w:color="auto"/>
        <w:left w:val="none" w:sz="0" w:space="0" w:color="auto"/>
        <w:bottom w:val="none" w:sz="0" w:space="0" w:color="auto"/>
        <w:right w:val="none" w:sz="0" w:space="0" w:color="auto"/>
      </w:divBdr>
      <w:divsChild>
        <w:div w:id="306977377">
          <w:marLeft w:val="0"/>
          <w:marRight w:val="0"/>
          <w:marTop w:val="0"/>
          <w:marBottom w:val="0"/>
          <w:divBdr>
            <w:top w:val="none" w:sz="0" w:space="0" w:color="auto"/>
            <w:left w:val="none" w:sz="0" w:space="0" w:color="auto"/>
            <w:bottom w:val="none" w:sz="0" w:space="0" w:color="auto"/>
            <w:right w:val="none" w:sz="0" w:space="0" w:color="auto"/>
          </w:divBdr>
          <w:divsChild>
            <w:div w:id="133040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48897">
      <w:bodyDiv w:val="1"/>
      <w:marLeft w:val="0"/>
      <w:marRight w:val="0"/>
      <w:marTop w:val="0"/>
      <w:marBottom w:val="0"/>
      <w:divBdr>
        <w:top w:val="none" w:sz="0" w:space="0" w:color="auto"/>
        <w:left w:val="none" w:sz="0" w:space="0" w:color="auto"/>
        <w:bottom w:val="none" w:sz="0" w:space="0" w:color="auto"/>
        <w:right w:val="none" w:sz="0" w:space="0" w:color="auto"/>
      </w:divBdr>
      <w:divsChild>
        <w:div w:id="476069947">
          <w:marLeft w:val="0"/>
          <w:marRight w:val="0"/>
          <w:marTop w:val="0"/>
          <w:marBottom w:val="0"/>
          <w:divBdr>
            <w:top w:val="none" w:sz="0" w:space="0" w:color="auto"/>
            <w:left w:val="none" w:sz="0" w:space="0" w:color="auto"/>
            <w:bottom w:val="none" w:sz="0" w:space="0" w:color="auto"/>
            <w:right w:val="none" w:sz="0" w:space="0" w:color="auto"/>
          </w:divBdr>
          <w:divsChild>
            <w:div w:id="109202359">
              <w:marLeft w:val="0"/>
              <w:marRight w:val="0"/>
              <w:marTop w:val="0"/>
              <w:marBottom w:val="0"/>
              <w:divBdr>
                <w:top w:val="none" w:sz="0" w:space="0" w:color="auto"/>
                <w:left w:val="none" w:sz="0" w:space="0" w:color="auto"/>
                <w:bottom w:val="none" w:sz="0" w:space="0" w:color="auto"/>
                <w:right w:val="none" w:sz="0" w:space="0" w:color="auto"/>
              </w:divBdr>
              <w:divsChild>
                <w:div w:id="805241516">
                  <w:marLeft w:val="0"/>
                  <w:marRight w:val="0"/>
                  <w:marTop w:val="0"/>
                  <w:marBottom w:val="0"/>
                  <w:divBdr>
                    <w:top w:val="none" w:sz="0" w:space="0" w:color="auto"/>
                    <w:left w:val="none" w:sz="0" w:space="0" w:color="auto"/>
                    <w:bottom w:val="none" w:sz="0" w:space="0" w:color="auto"/>
                    <w:right w:val="none" w:sz="0" w:space="0" w:color="auto"/>
                  </w:divBdr>
                  <w:divsChild>
                    <w:div w:id="519393614">
                      <w:marLeft w:val="0"/>
                      <w:marRight w:val="0"/>
                      <w:marTop w:val="0"/>
                      <w:marBottom w:val="0"/>
                      <w:divBdr>
                        <w:top w:val="none" w:sz="0" w:space="0" w:color="auto"/>
                        <w:left w:val="none" w:sz="0" w:space="0" w:color="auto"/>
                        <w:bottom w:val="none" w:sz="0" w:space="0" w:color="auto"/>
                        <w:right w:val="none" w:sz="0" w:space="0" w:color="auto"/>
                      </w:divBdr>
                    </w:div>
                    <w:div w:id="198318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698930">
              <w:marLeft w:val="0"/>
              <w:marRight w:val="0"/>
              <w:marTop w:val="0"/>
              <w:marBottom w:val="0"/>
              <w:divBdr>
                <w:top w:val="none" w:sz="0" w:space="0" w:color="auto"/>
                <w:left w:val="none" w:sz="0" w:space="0" w:color="auto"/>
                <w:bottom w:val="none" w:sz="0" w:space="0" w:color="auto"/>
                <w:right w:val="none" w:sz="0" w:space="0" w:color="auto"/>
              </w:divBdr>
              <w:divsChild>
                <w:div w:id="1958754105">
                  <w:marLeft w:val="0"/>
                  <w:marRight w:val="0"/>
                  <w:marTop w:val="0"/>
                  <w:marBottom w:val="0"/>
                  <w:divBdr>
                    <w:top w:val="none" w:sz="0" w:space="0" w:color="auto"/>
                    <w:left w:val="none" w:sz="0" w:space="0" w:color="auto"/>
                    <w:bottom w:val="none" w:sz="0" w:space="0" w:color="auto"/>
                    <w:right w:val="none" w:sz="0" w:space="0" w:color="auto"/>
                  </w:divBdr>
                  <w:divsChild>
                    <w:div w:id="865946182">
                      <w:marLeft w:val="0"/>
                      <w:marRight w:val="0"/>
                      <w:marTop w:val="0"/>
                      <w:marBottom w:val="0"/>
                      <w:divBdr>
                        <w:top w:val="none" w:sz="0" w:space="0" w:color="auto"/>
                        <w:left w:val="none" w:sz="0" w:space="0" w:color="auto"/>
                        <w:bottom w:val="none" w:sz="0" w:space="0" w:color="auto"/>
                        <w:right w:val="none" w:sz="0" w:space="0" w:color="auto"/>
                      </w:divBdr>
                      <w:divsChild>
                        <w:div w:id="1106459957">
                          <w:marLeft w:val="0"/>
                          <w:marRight w:val="0"/>
                          <w:marTop w:val="0"/>
                          <w:marBottom w:val="0"/>
                          <w:divBdr>
                            <w:top w:val="none" w:sz="0" w:space="0" w:color="auto"/>
                            <w:left w:val="none" w:sz="0" w:space="0" w:color="auto"/>
                            <w:bottom w:val="none" w:sz="0" w:space="0" w:color="auto"/>
                            <w:right w:val="none" w:sz="0" w:space="0" w:color="auto"/>
                          </w:divBdr>
                          <w:divsChild>
                            <w:div w:id="3626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408672">
              <w:marLeft w:val="0"/>
              <w:marRight w:val="0"/>
              <w:marTop w:val="0"/>
              <w:marBottom w:val="0"/>
              <w:divBdr>
                <w:top w:val="none" w:sz="0" w:space="0" w:color="auto"/>
                <w:left w:val="none" w:sz="0" w:space="0" w:color="auto"/>
                <w:bottom w:val="none" w:sz="0" w:space="0" w:color="auto"/>
                <w:right w:val="none" w:sz="0" w:space="0" w:color="auto"/>
              </w:divBdr>
            </w:div>
            <w:div w:id="558830002">
              <w:marLeft w:val="0"/>
              <w:marRight w:val="0"/>
              <w:marTop w:val="0"/>
              <w:marBottom w:val="0"/>
              <w:divBdr>
                <w:top w:val="none" w:sz="0" w:space="0" w:color="auto"/>
                <w:left w:val="none" w:sz="0" w:space="0" w:color="auto"/>
                <w:bottom w:val="none" w:sz="0" w:space="0" w:color="auto"/>
                <w:right w:val="none" w:sz="0" w:space="0" w:color="auto"/>
              </w:divBdr>
              <w:divsChild>
                <w:div w:id="684598632">
                  <w:marLeft w:val="0"/>
                  <w:marRight w:val="0"/>
                  <w:marTop w:val="0"/>
                  <w:marBottom w:val="0"/>
                  <w:divBdr>
                    <w:top w:val="none" w:sz="0" w:space="0" w:color="auto"/>
                    <w:left w:val="none" w:sz="0" w:space="0" w:color="auto"/>
                    <w:bottom w:val="none" w:sz="0" w:space="0" w:color="auto"/>
                    <w:right w:val="none" w:sz="0" w:space="0" w:color="auto"/>
                  </w:divBdr>
                  <w:divsChild>
                    <w:div w:id="70547040">
                      <w:marLeft w:val="0"/>
                      <w:marRight w:val="0"/>
                      <w:marTop w:val="0"/>
                      <w:marBottom w:val="0"/>
                      <w:divBdr>
                        <w:top w:val="none" w:sz="0" w:space="0" w:color="auto"/>
                        <w:left w:val="none" w:sz="0" w:space="0" w:color="auto"/>
                        <w:bottom w:val="none" w:sz="0" w:space="0" w:color="auto"/>
                        <w:right w:val="none" w:sz="0" w:space="0" w:color="auto"/>
                      </w:divBdr>
                    </w:div>
                    <w:div w:id="729426072">
                      <w:marLeft w:val="0"/>
                      <w:marRight w:val="0"/>
                      <w:marTop w:val="0"/>
                      <w:marBottom w:val="0"/>
                      <w:divBdr>
                        <w:top w:val="none" w:sz="0" w:space="0" w:color="auto"/>
                        <w:left w:val="none" w:sz="0" w:space="0" w:color="auto"/>
                        <w:bottom w:val="none" w:sz="0" w:space="0" w:color="auto"/>
                        <w:right w:val="none" w:sz="0" w:space="0" w:color="auto"/>
                      </w:divBdr>
                    </w:div>
                    <w:div w:id="1131438878">
                      <w:marLeft w:val="0"/>
                      <w:marRight w:val="0"/>
                      <w:marTop w:val="0"/>
                      <w:marBottom w:val="0"/>
                      <w:divBdr>
                        <w:top w:val="none" w:sz="0" w:space="0" w:color="auto"/>
                        <w:left w:val="none" w:sz="0" w:space="0" w:color="auto"/>
                        <w:bottom w:val="none" w:sz="0" w:space="0" w:color="auto"/>
                        <w:right w:val="none" w:sz="0" w:space="0" w:color="auto"/>
                      </w:divBdr>
                    </w:div>
                    <w:div w:id="1591503927">
                      <w:marLeft w:val="0"/>
                      <w:marRight w:val="0"/>
                      <w:marTop w:val="0"/>
                      <w:marBottom w:val="0"/>
                      <w:divBdr>
                        <w:top w:val="none" w:sz="0" w:space="0" w:color="auto"/>
                        <w:left w:val="none" w:sz="0" w:space="0" w:color="auto"/>
                        <w:bottom w:val="none" w:sz="0" w:space="0" w:color="auto"/>
                        <w:right w:val="none" w:sz="0" w:space="0" w:color="auto"/>
                      </w:divBdr>
                    </w:div>
                    <w:div w:id="1750497670">
                      <w:marLeft w:val="0"/>
                      <w:marRight w:val="0"/>
                      <w:marTop w:val="0"/>
                      <w:marBottom w:val="0"/>
                      <w:divBdr>
                        <w:top w:val="none" w:sz="0" w:space="0" w:color="auto"/>
                        <w:left w:val="none" w:sz="0" w:space="0" w:color="auto"/>
                        <w:bottom w:val="none" w:sz="0" w:space="0" w:color="auto"/>
                        <w:right w:val="none" w:sz="0" w:space="0" w:color="auto"/>
                      </w:divBdr>
                    </w:div>
                    <w:div w:id="197035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652456">
              <w:marLeft w:val="0"/>
              <w:marRight w:val="0"/>
              <w:marTop w:val="0"/>
              <w:marBottom w:val="0"/>
              <w:divBdr>
                <w:top w:val="none" w:sz="0" w:space="0" w:color="auto"/>
                <w:left w:val="none" w:sz="0" w:space="0" w:color="auto"/>
                <w:bottom w:val="none" w:sz="0" w:space="0" w:color="auto"/>
                <w:right w:val="none" w:sz="0" w:space="0" w:color="auto"/>
              </w:divBdr>
            </w:div>
            <w:div w:id="569270305">
              <w:marLeft w:val="0"/>
              <w:marRight w:val="0"/>
              <w:marTop w:val="0"/>
              <w:marBottom w:val="0"/>
              <w:divBdr>
                <w:top w:val="none" w:sz="0" w:space="0" w:color="auto"/>
                <w:left w:val="none" w:sz="0" w:space="0" w:color="auto"/>
                <w:bottom w:val="none" w:sz="0" w:space="0" w:color="auto"/>
                <w:right w:val="none" w:sz="0" w:space="0" w:color="auto"/>
              </w:divBdr>
              <w:divsChild>
                <w:div w:id="404571192">
                  <w:marLeft w:val="0"/>
                  <w:marRight w:val="0"/>
                  <w:marTop w:val="0"/>
                  <w:marBottom w:val="0"/>
                  <w:divBdr>
                    <w:top w:val="none" w:sz="0" w:space="0" w:color="auto"/>
                    <w:left w:val="none" w:sz="0" w:space="0" w:color="auto"/>
                    <w:bottom w:val="none" w:sz="0" w:space="0" w:color="auto"/>
                    <w:right w:val="none" w:sz="0" w:space="0" w:color="auto"/>
                  </w:divBdr>
                  <w:divsChild>
                    <w:div w:id="1445538509">
                      <w:marLeft w:val="0"/>
                      <w:marRight w:val="0"/>
                      <w:marTop w:val="0"/>
                      <w:marBottom w:val="0"/>
                      <w:divBdr>
                        <w:top w:val="none" w:sz="0" w:space="0" w:color="auto"/>
                        <w:left w:val="none" w:sz="0" w:space="0" w:color="auto"/>
                        <w:bottom w:val="none" w:sz="0" w:space="0" w:color="auto"/>
                        <w:right w:val="none" w:sz="0" w:space="0" w:color="auto"/>
                      </w:divBdr>
                      <w:divsChild>
                        <w:div w:id="414520163">
                          <w:marLeft w:val="0"/>
                          <w:marRight w:val="0"/>
                          <w:marTop w:val="0"/>
                          <w:marBottom w:val="0"/>
                          <w:divBdr>
                            <w:top w:val="none" w:sz="0" w:space="0" w:color="auto"/>
                            <w:left w:val="none" w:sz="0" w:space="0" w:color="auto"/>
                            <w:bottom w:val="none" w:sz="0" w:space="0" w:color="auto"/>
                            <w:right w:val="none" w:sz="0" w:space="0" w:color="auto"/>
                          </w:divBdr>
                          <w:divsChild>
                            <w:div w:id="49565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250788">
              <w:marLeft w:val="0"/>
              <w:marRight w:val="0"/>
              <w:marTop w:val="0"/>
              <w:marBottom w:val="0"/>
              <w:divBdr>
                <w:top w:val="none" w:sz="0" w:space="0" w:color="auto"/>
                <w:left w:val="none" w:sz="0" w:space="0" w:color="auto"/>
                <w:bottom w:val="none" w:sz="0" w:space="0" w:color="auto"/>
                <w:right w:val="none" w:sz="0" w:space="0" w:color="auto"/>
              </w:divBdr>
            </w:div>
            <w:div w:id="977295200">
              <w:marLeft w:val="0"/>
              <w:marRight w:val="0"/>
              <w:marTop w:val="0"/>
              <w:marBottom w:val="0"/>
              <w:divBdr>
                <w:top w:val="none" w:sz="0" w:space="0" w:color="auto"/>
                <w:left w:val="none" w:sz="0" w:space="0" w:color="auto"/>
                <w:bottom w:val="none" w:sz="0" w:space="0" w:color="auto"/>
                <w:right w:val="none" w:sz="0" w:space="0" w:color="auto"/>
              </w:divBdr>
            </w:div>
            <w:div w:id="1021394066">
              <w:marLeft w:val="0"/>
              <w:marRight w:val="0"/>
              <w:marTop w:val="0"/>
              <w:marBottom w:val="0"/>
              <w:divBdr>
                <w:top w:val="none" w:sz="0" w:space="0" w:color="auto"/>
                <w:left w:val="none" w:sz="0" w:space="0" w:color="auto"/>
                <w:bottom w:val="none" w:sz="0" w:space="0" w:color="auto"/>
                <w:right w:val="none" w:sz="0" w:space="0" w:color="auto"/>
              </w:divBdr>
              <w:divsChild>
                <w:div w:id="623539530">
                  <w:marLeft w:val="0"/>
                  <w:marRight w:val="0"/>
                  <w:marTop w:val="0"/>
                  <w:marBottom w:val="0"/>
                  <w:divBdr>
                    <w:top w:val="none" w:sz="0" w:space="0" w:color="auto"/>
                    <w:left w:val="none" w:sz="0" w:space="0" w:color="auto"/>
                    <w:bottom w:val="none" w:sz="0" w:space="0" w:color="auto"/>
                    <w:right w:val="none" w:sz="0" w:space="0" w:color="auto"/>
                  </w:divBdr>
                  <w:divsChild>
                    <w:div w:id="1062019808">
                      <w:marLeft w:val="0"/>
                      <w:marRight w:val="0"/>
                      <w:marTop w:val="0"/>
                      <w:marBottom w:val="0"/>
                      <w:divBdr>
                        <w:top w:val="none" w:sz="0" w:space="0" w:color="auto"/>
                        <w:left w:val="none" w:sz="0" w:space="0" w:color="auto"/>
                        <w:bottom w:val="none" w:sz="0" w:space="0" w:color="auto"/>
                        <w:right w:val="none" w:sz="0" w:space="0" w:color="auto"/>
                      </w:divBdr>
                    </w:div>
                    <w:div w:id="195285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10118">
              <w:marLeft w:val="0"/>
              <w:marRight w:val="0"/>
              <w:marTop w:val="0"/>
              <w:marBottom w:val="0"/>
              <w:divBdr>
                <w:top w:val="none" w:sz="0" w:space="0" w:color="auto"/>
                <w:left w:val="none" w:sz="0" w:space="0" w:color="auto"/>
                <w:bottom w:val="none" w:sz="0" w:space="0" w:color="auto"/>
                <w:right w:val="none" w:sz="0" w:space="0" w:color="auto"/>
              </w:divBdr>
            </w:div>
            <w:div w:id="1121000167">
              <w:marLeft w:val="0"/>
              <w:marRight w:val="0"/>
              <w:marTop w:val="0"/>
              <w:marBottom w:val="0"/>
              <w:divBdr>
                <w:top w:val="none" w:sz="0" w:space="0" w:color="auto"/>
                <w:left w:val="none" w:sz="0" w:space="0" w:color="auto"/>
                <w:bottom w:val="none" w:sz="0" w:space="0" w:color="auto"/>
                <w:right w:val="none" w:sz="0" w:space="0" w:color="auto"/>
              </w:divBdr>
              <w:divsChild>
                <w:div w:id="856188353">
                  <w:marLeft w:val="0"/>
                  <w:marRight w:val="0"/>
                  <w:marTop w:val="0"/>
                  <w:marBottom w:val="0"/>
                  <w:divBdr>
                    <w:top w:val="none" w:sz="0" w:space="0" w:color="auto"/>
                    <w:left w:val="none" w:sz="0" w:space="0" w:color="auto"/>
                    <w:bottom w:val="none" w:sz="0" w:space="0" w:color="auto"/>
                    <w:right w:val="none" w:sz="0" w:space="0" w:color="auto"/>
                  </w:divBdr>
                  <w:divsChild>
                    <w:div w:id="1085884269">
                      <w:marLeft w:val="0"/>
                      <w:marRight w:val="0"/>
                      <w:marTop w:val="0"/>
                      <w:marBottom w:val="0"/>
                      <w:divBdr>
                        <w:top w:val="none" w:sz="0" w:space="0" w:color="auto"/>
                        <w:left w:val="none" w:sz="0" w:space="0" w:color="auto"/>
                        <w:bottom w:val="none" w:sz="0" w:space="0" w:color="auto"/>
                        <w:right w:val="none" w:sz="0" w:space="0" w:color="auto"/>
                      </w:divBdr>
                      <w:divsChild>
                        <w:div w:id="437212294">
                          <w:marLeft w:val="0"/>
                          <w:marRight w:val="0"/>
                          <w:marTop w:val="0"/>
                          <w:marBottom w:val="0"/>
                          <w:divBdr>
                            <w:top w:val="none" w:sz="0" w:space="0" w:color="auto"/>
                            <w:left w:val="none" w:sz="0" w:space="0" w:color="auto"/>
                            <w:bottom w:val="none" w:sz="0" w:space="0" w:color="auto"/>
                            <w:right w:val="none" w:sz="0" w:space="0" w:color="auto"/>
                          </w:divBdr>
                          <w:divsChild>
                            <w:div w:id="10265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030156">
              <w:marLeft w:val="0"/>
              <w:marRight w:val="0"/>
              <w:marTop w:val="0"/>
              <w:marBottom w:val="0"/>
              <w:divBdr>
                <w:top w:val="none" w:sz="0" w:space="0" w:color="auto"/>
                <w:left w:val="none" w:sz="0" w:space="0" w:color="auto"/>
                <w:bottom w:val="none" w:sz="0" w:space="0" w:color="auto"/>
                <w:right w:val="none" w:sz="0" w:space="0" w:color="auto"/>
              </w:divBdr>
              <w:divsChild>
                <w:div w:id="1313439171">
                  <w:marLeft w:val="0"/>
                  <w:marRight w:val="0"/>
                  <w:marTop w:val="0"/>
                  <w:marBottom w:val="0"/>
                  <w:divBdr>
                    <w:top w:val="none" w:sz="0" w:space="0" w:color="auto"/>
                    <w:left w:val="none" w:sz="0" w:space="0" w:color="auto"/>
                    <w:bottom w:val="none" w:sz="0" w:space="0" w:color="auto"/>
                    <w:right w:val="none" w:sz="0" w:space="0" w:color="auto"/>
                  </w:divBdr>
                  <w:divsChild>
                    <w:div w:id="1285959558">
                      <w:marLeft w:val="0"/>
                      <w:marRight w:val="0"/>
                      <w:marTop w:val="0"/>
                      <w:marBottom w:val="0"/>
                      <w:divBdr>
                        <w:top w:val="none" w:sz="0" w:space="0" w:color="auto"/>
                        <w:left w:val="none" w:sz="0" w:space="0" w:color="auto"/>
                        <w:bottom w:val="none" w:sz="0" w:space="0" w:color="auto"/>
                        <w:right w:val="none" w:sz="0" w:space="0" w:color="auto"/>
                      </w:divBdr>
                      <w:divsChild>
                        <w:div w:id="536741637">
                          <w:marLeft w:val="0"/>
                          <w:marRight w:val="0"/>
                          <w:marTop w:val="0"/>
                          <w:marBottom w:val="0"/>
                          <w:divBdr>
                            <w:top w:val="none" w:sz="0" w:space="0" w:color="auto"/>
                            <w:left w:val="none" w:sz="0" w:space="0" w:color="auto"/>
                            <w:bottom w:val="none" w:sz="0" w:space="0" w:color="auto"/>
                            <w:right w:val="none" w:sz="0" w:space="0" w:color="auto"/>
                          </w:divBdr>
                          <w:divsChild>
                            <w:div w:id="211388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708570">
              <w:marLeft w:val="0"/>
              <w:marRight w:val="0"/>
              <w:marTop w:val="0"/>
              <w:marBottom w:val="0"/>
              <w:divBdr>
                <w:top w:val="none" w:sz="0" w:space="0" w:color="auto"/>
                <w:left w:val="none" w:sz="0" w:space="0" w:color="auto"/>
                <w:bottom w:val="none" w:sz="0" w:space="0" w:color="auto"/>
                <w:right w:val="none" w:sz="0" w:space="0" w:color="auto"/>
              </w:divBdr>
              <w:divsChild>
                <w:div w:id="553390914">
                  <w:marLeft w:val="0"/>
                  <w:marRight w:val="0"/>
                  <w:marTop w:val="0"/>
                  <w:marBottom w:val="0"/>
                  <w:divBdr>
                    <w:top w:val="none" w:sz="0" w:space="0" w:color="auto"/>
                    <w:left w:val="none" w:sz="0" w:space="0" w:color="auto"/>
                    <w:bottom w:val="none" w:sz="0" w:space="0" w:color="auto"/>
                    <w:right w:val="none" w:sz="0" w:space="0" w:color="auto"/>
                  </w:divBdr>
                  <w:divsChild>
                    <w:div w:id="309484495">
                      <w:marLeft w:val="0"/>
                      <w:marRight w:val="0"/>
                      <w:marTop w:val="0"/>
                      <w:marBottom w:val="0"/>
                      <w:divBdr>
                        <w:top w:val="none" w:sz="0" w:space="0" w:color="auto"/>
                        <w:left w:val="none" w:sz="0" w:space="0" w:color="auto"/>
                        <w:bottom w:val="none" w:sz="0" w:space="0" w:color="auto"/>
                        <w:right w:val="none" w:sz="0" w:space="0" w:color="auto"/>
                      </w:divBdr>
                    </w:div>
                    <w:div w:id="89817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573534">
              <w:marLeft w:val="0"/>
              <w:marRight w:val="0"/>
              <w:marTop w:val="0"/>
              <w:marBottom w:val="0"/>
              <w:divBdr>
                <w:top w:val="none" w:sz="0" w:space="0" w:color="auto"/>
                <w:left w:val="none" w:sz="0" w:space="0" w:color="auto"/>
                <w:bottom w:val="none" w:sz="0" w:space="0" w:color="auto"/>
                <w:right w:val="none" w:sz="0" w:space="0" w:color="auto"/>
              </w:divBdr>
            </w:div>
            <w:div w:id="1764447068">
              <w:marLeft w:val="0"/>
              <w:marRight w:val="0"/>
              <w:marTop w:val="0"/>
              <w:marBottom w:val="0"/>
              <w:divBdr>
                <w:top w:val="none" w:sz="0" w:space="0" w:color="auto"/>
                <w:left w:val="none" w:sz="0" w:space="0" w:color="auto"/>
                <w:bottom w:val="none" w:sz="0" w:space="0" w:color="auto"/>
                <w:right w:val="none" w:sz="0" w:space="0" w:color="auto"/>
              </w:divBdr>
            </w:div>
            <w:div w:id="1956450010">
              <w:marLeft w:val="0"/>
              <w:marRight w:val="0"/>
              <w:marTop w:val="0"/>
              <w:marBottom w:val="0"/>
              <w:divBdr>
                <w:top w:val="none" w:sz="0" w:space="0" w:color="auto"/>
                <w:left w:val="none" w:sz="0" w:space="0" w:color="auto"/>
                <w:bottom w:val="none" w:sz="0" w:space="0" w:color="auto"/>
                <w:right w:val="none" w:sz="0" w:space="0" w:color="auto"/>
              </w:divBdr>
            </w:div>
            <w:div w:id="2041935030">
              <w:marLeft w:val="0"/>
              <w:marRight w:val="0"/>
              <w:marTop w:val="0"/>
              <w:marBottom w:val="0"/>
              <w:divBdr>
                <w:top w:val="none" w:sz="0" w:space="0" w:color="auto"/>
                <w:left w:val="none" w:sz="0" w:space="0" w:color="auto"/>
                <w:bottom w:val="none" w:sz="0" w:space="0" w:color="auto"/>
                <w:right w:val="none" w:sz="0" w:space="0" w:color="auto"/>
              </w:divBdr>
            </w:div>
            <w:div w:id="2059625910">
              <w:marLeft w:val="0"/>
              <w:marRight w:val="0"/>
              <w:marTop w:val="0"/>
              <w:marBottom w:val="0"/>
              <w:divBdr>
                <w:top w:val="none" w:sz="0" w:space="0" w:color="auto"/>
                <w:left w:val="none" w:sz="0" w:space="0" w:color="auto"/>
                <w:bottom w:val="none" w:sz="0" w:space="0" w:color="auto"/>
                <w:right w:val="none" w:sz="0" w:space="0" w:color="auto"/>
              </w:divBdr>
              <w:divsChild>
                <w:div w:id="2140566109">
                  <w:marLeft w:val="0"/>
                  <w:marRight w:val="0"/>
                  <w:marTop w:val="0"/>
                  <w:marBottom w:val="0"/>
                  <w:divBdr>
                    <w:top w:val="none" w:sz="0" w:space="0" w:color="auto"/>
                    <w:left w:val="none" w:sz="0" w:space="0" w:color="auto"/>
                    <w:bottom w:val="none" w:sz="0" w:space="0" w:color="auto"/>
                    <w:right w:val="none" w:sz="0" w:space="0" w:color="auto"/>
                  </w:divBdr>
                  <w:divsChild>
                    <w:div w:id="592667762">
                      <w:marLeft w:val="0"/>
                      <w:marRight w:val="0"/>
                      <w:marTop w:val="0"/>
                      <w:marBottom w:val="0"/>
                      <w:divBdr>
                        <w:top w:val="none" w:sz="0" w:space="0" w:color="auto"/>
                        <w:left w:val="none" w:sz="0" w:space="0" w:color="auto"/>
                        <w:bottom w:val="none" w:sz="0" w:space="0" w:color="auto"/>
                        <w:right w:val="none" w:sz="0" w:space="0" w:color="auto"/>
                      </w:divBdr>
                      <w:divsChild>
                        <w:div w:id="282273655">
                          <w:marLeft w:val="0"/>
                          <w:marRight w:val="0"/>
                          <w:marTop w:val="0"/>
                          <w:marBottom w:val="0"/>
                          <w:divBdr>
                            <w:top w:val="none" w:sz="0" w:space="0" w:color="auto"/>
                            <w:left w:val="none" w:sz="0" w:space="0" w:color="auto"/>
                            <w:bottom w:val="none" w:sz="0" w:space="0" w:color="auto"/>
                            <w:right w:val="none" w:sz="0" w:space="0" w:color="auto"/>
                          </w:divBdr>
                          <w:divsChild>
                            <w:div w:id="90040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120531">
              <w:marLeft w:val="0"/>
              <w:marRight w:val="0"/>
              <w:marTop w:val="0"/>
              <w:marBottom w:val="0"/>
              <w:divBdr>
                <w:top w:val="none" w:sz="0" w:space="0" w:color="auto"/>
                <w:left w:val="none" w:sz="0" w:space="0" w:color="auto"/>
                <w:bottom w:val="none" w:sz="0" w:space="0" w:color="auto"/>
                <w:right w:val="none" w:sz="0" w:space="0" w:color="auto"/>
              </w:divBdr>
              <w:divsChild>
                <w:div w:id="697312362">
                  <w:marLeft w:val="0"/>
                  <w:marRight w:val="0"/>
                  <w:marTop w:val="0"/>
                  <w:marBottom w:val="0"/>
                  <w:divBdr>
                    <w:top w:val="none" w:sz="0" w:space="0" w:color="auto"/>
                    <w:left w:val="none" w:sz="0" w:space="0" w:color="auto"/>
                    <w:bottom w:val="none" w:sz="0" w:space="0" w:color="auto"/>
                    <w:right w:val="none" w:sz="0" w:space="0" w:color="auto"/>
                  </w:divBdr>
                  <w:divsChild>
                    <w:div w:id="1754157336">
                      <w:marLeft w:val="0"/>
                      <w:marRight w:val="0"/>
                      <w:marTop w:val="0"/>
                      <w:marBottom w:val="0"/>
                      <w:divBdr>
                        <w:top w:val="none" w:sz="0" w:space="0" w:color="auto"/>
                        <w:left w:val="none" w:sz="0" w:space="0" w:color="auto"/>
                        <w:bottom w:val="none" w:sz="0" w:space="0" w:color="auto"/>
                        <w:right w:val="none" w:sz="0" w:space="0" w:color="auto"/>
                      </w:divBdr>
                      <w:divsChild>
                        <w:div w:id="209034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372191">
      <w:bodyDiv w:val="1"/>
      <w:marLeft w:val="0"/>
      <w:marRight w:val="0"/>
      <w:marTop w:val="0"/>
      <w:marBottom w:val="0"/>
      <w:divBdr>
        <w:top w:val="none" w:sz="0" w:space="0" w:color="auto"/>
        <w:left w:val="none" w:sz="0" w:space="0" w:color="auto"/>
        <w:bottom w:val="none" w:sz="0" w:space="0" w:color="auto"/>
        <w:right w:val="none" w:sz="0" w:space="0" w:color="auto"/>
      </w:divBdr>
      <w:divsChild>
        <w:div w:id="2084599261">
          <w:marLeft w:val="0"/>
          <w:marRight w:val="0"/>
          <w:marTop w:val="0"/>
          <w:marBottom w:val="0"/>
          <w:divBdr>
            <w:top w:val="none" w:sz="0" w:space="0" w:color="auto"/>
            <w:left w:val="none" w:sz="0" w:space="0" w:color="auto"/>
            <w:bottom w:val="none" w:sz="0" w:space="0" w:color="auto"/>
            <w:right w:val="none" w:sz="0" w:space="0" w:color="auto"/>
          </w:divBdr>
          <w:divsChild>
            <w:div w:id="100632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01744">
      <w:bodyDiv w:val="1"/>
      <w:marLeft w:val="0"/>
      <w:marRight w:val="0"/>
      <w:marTop w:val="0"/>
      <w:marBottom w:val="0"/>
      <w:divBdr>
        <w:top w:val="none" w:sz="0" w:space="0" w:color="auto"/>
        <w:left w:val="none" w:sz="0" w:space="0" w:color="auto"/>
        <w:bottom w:val="none" w:sz="0" w:space="0" w:color="auto"/>
        <w:right w:val="none" w:sz="0" w:space="0" w:color="auto"/>
      </w:divBdr>
      <w:divsChild>
        <w:div w:id="1320963356">
          <w:marLeft w:val="0"/>
          <w:marRight w:val="0"/>
          <w:marTop w:val="0"/>
          <w:marBottom w:val="0"/>
          <w:divBdr>
            <w:top w:val="none" w:sz="0" w:space="0" w:color="auto"/>
            <w:left w:val="none" w:sz="0" w:space="0" w:color="auto"/>
            <w:bottom w:val="none" w:sz="0" w:space="0" w:color="auto"/>
            <w:right w:val="none" w:sz="0" w:space="0" w:color="auto"/>
          </w:divBdr>
          <w:divsChild>
            <w:div w:id="716204919">
              <w:marLeft w:val="0"/>
              <w:marRight w:val="0"/>
              <w:marTop w:val="0"/>
              <w:marBottom w:val="0"/>
              <w:divBdr>
                <w:top w:val="none" w:sz="0" w:space="0" w:color="auto"/>
                <w:left w:val="none" w:sz="0" w:space="0" w:color="auto"/>
                <w:bottom w:val="none" w:sz="0" w:space="0" w:color="auto"/>
                <w:right w:val="none" w:sz="0" w:space="0" w:color="auto"/>
              </w:divBdr>
              <w:divsChild>
                <w:div w:id="114854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913522">
      <w:bodyDiv w:val="1"/>
      <w:marLeft w:val="0"/>
      <w:marRight w:val="0"/>
      <w:marTop w:val="0"/>
      <w:marBottom w:val="0"/>
      <w:divBdr>
        <w:top w:val="none" w:sz="0" w:space="0" w:color="auto"/>
        <w:left w:val="none" w:sz="0" w:space="0" w:color="auto"/>
        <w:bottom w:val="none" w:sz="0" w:space="0" w:color="auto"/>
        <w:right w:val="none" w:sz="0" w:space="0" w:color="auto"/>
      </w:divBdr>
      <w:divsChild>
        <w:div w:id="1752119332">
          <w:marLeft w:val="0"/>
          <w:marRight w:val="0"/>
          <w:marTop w:val="0"/>
          <w:marBottom w:val="0"/>
          <w:divBdr>
            <w:top w:val="none" w:sz="0" w:space="0" w:color="auto"/>
            <w:left w:val="none" w:sz="0" w:space="0" w:color="auto"/>
            <w:bottom w:val="none" w:sz="0" w:space="0" w:color="auto"/>
            <w:right w:val="none" w:sz="0" w:space="0" w:color="auto"/>
          </w:divBdr>
        </w:div>
      </w:divsChild>
    </w:div>
    <w:div w:id="1498879403">
      <w:bodyDiv w:val="1"/>
      <w:marLeft w:val="0"/>
      <w:marRight w:val="0"/>
      <w:marTop w:val="0"/>
      <w:marBottom w:val="0"/>
      <w:divBdr>
        <w:top w:val="none" w:sz="0" w:space="0" w:color="auto"/>
        <w:left w:val="none" w:sz="0" w:space="0" w:color="auto"/>
        <w:bottom w:val="none" w:sz="0" w:space="0" w:color="auto"/>
        <w:right w:val="none" w:sz="0" w:space="0" w:color="auto"/>
      </w:divBdr>
      <w:divsChild>
        <w:div w:id="1455443802">
          <w:marLeft w:val="0"/>
          <w:marRight w:val="0"/>
          <w:marTop w:val="0"/>
          <w:marBottom w:val="0"/>
          <w:divBdr>
            <w:top w:val="none" w:sz="0" w:space="0" w:color="auto"/>
            <w:left w:val="none" w:sz="0" w:space="0" w:color="auto"/>
            <w:bottom w:val="none" w:sz="0" w:space="0" w:color="auto"/>
            <w:right w:val="none" w:sz="0" w:space="0" w:color="auto"/>
          </w:divBdr>
          <w:divsChild>
            <w:div w:id="1738473741">
              <w:marLeft w:val="0"/>
              <w:marRight w:val="0"/>
              <w:marTop w:val="0"/>
              <w:marBottom w:val="0"/>
              <w:divBdr>
                <w:top w:val="none" w:sz="0" w:space="0" w:color="auto"/>
                <w:left w:val="none" w:sz="0" w:space="0" w:color="auto"/>
                <w:bottom w:val="none" w:sz="0" w:space="0" w:color="auto"/>
                <w:right w:val="none" w:sz="0" w:space="0" w:color="auto"/>
              </w:divBdr>
              <w:divsChild>
                <w:div w:id="61344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077075">
      <w:bodyDiv w:val="1"/>
      <w:marLeft w:val="0"/>
      <w:marRight w:val="0"/>
      <w:marTop w:val="0"/>
      <w:marBottom w:val="0"/>
      <w:divBdr>
        <w:top w:val="none" w:sz="0" w:space="0" w:color="auto"/>
        <w:left w:val="none" w:sz="0" w:space="0" w:color="auto"/>
        <w:bottom w:val="none" w:sz="0" w:space="0" w:color="auto"/>
        <w:right w:val="none" w:sz="0" w:space="0" w:color="auto"/>
      </w:divBdr>
      <w:divsChild>
        <w:div w:id="796293948">
          <w:marLeft w:val="0"/>
          <w:marRight w:val="0"/>
          <w:marTop w:val="0"/>
          <w:marBottom w:val="0"/>
          <w:divBdr>
            <w:top w:val="none" w:sz="0" w:space="0" w:color="auto"/>
            <w:left w:val="none" w:sz="0" w:space="0" w:color="auto"/>
            <w:bottom w:val="none" w:sz="0" w:space="0" w:color="auto"/>
            <w:right w:val="none" w:sz="0" w:space="0" w:color="auto"/>
          </w:divBdr>
          <w:divsChild>
            <w:div w:id="136101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72801">
      <w:bodyDiv w:val="1"/>
      <w:marLeft w:val="0"/>
      <w:marRight w:val="0"/>
      <w:marTop w:val="0"/>
      <w:marBottom w:val="0"/>
      <w:divBdr>
        <w:top w:val="none" w:sz="0" w:space="0" w:color="auto"/>
        <w:left w:val="none" w:sz="0" w:space="0" w:color="auto"/>
        <w:bottom w:val="none" w:sz="0" w:space="0" w:color="auto"/>
        <w:right w:val="none" w:sz="0" w:space="0" w:color="auto"/>
      </w:divBdr>
    </w:div>
    <w:div w:id="1581866096">
      <w:bodyDiv w:val="1"/>
      <w:marLeft w:val="0"/>
      <w:marRight w:val="0"/>
      <w:marTop w:val="0"/>
      <w:marBottom w:val="0"/>
      <w:divBdr>
        <w:top w:val="none" w:sz="0" w:space="0" w:color="auto"/>
        <w:left w:val="none" w:sz="0" w:space="0" w:color="auto"/>
        <w:bottom w:val="none" w:sz="0" w:space="0" w:color="auto"/>
        <w:right w:val="none" w:sz="0" w:space="0" w:color="auto"/>
      </w:divBdr>
      <w:divsChild>
        <w:div w:id="411893869">
          <w:marLeft w:val="0"/>
          <w:marRight w:val="0"/>
          <w:marTop w:val="0"/>
          <w:marBottom w:val="0"/>
          <w:divBdr>
            <w:top w:val="none" w:sz="0" w:space="0" w:color="auto"/>
            <w:left w:val="none" w:sz="0" w:space="0" w:color="auto"/>
            <w:bottom w:val="none" w:sz="0" w:space="0" w:color="auto"/>
            <w:right w:val="none" w:sz="0" w:space="0" w:color="auto"/>
          </w:divBdr>
        </w:div>
      </w:divsChild>
    </w:div>
    <w:div w:id="1703050532">
      <w:bodyDiv w:val="1"/>
      <w:marLeft w:val="0"/>
      <w:marRight w:val="0"/>
      <w:marTop w:val="0"/>
      <w:marBottom w:val="0"/>
      <w:divBdr>
        <w:top w:val="none" w:sz="0" w:space="0" w:color="auto"/>
        <w:left w:val="none" w:sz="0" w:space="0" w:color="auto"/>
        <w:bottom w:val="none" w:sz="0" w:space="0" w:color="auto"/>
        <w:right w:val="none" w:sz="0" w:space="0" w:color="auto"/>
      </w:divBdr>
      <w:divsChild>
        <w:div w:id="440032569">
          <w:marLeft w:val="0"/>
          <w:marRight w:val="0"/>
          <w:marTop w:val="0"/>
          <w:marBottom w:val="0"/>
          <w:divBdr>
            <w:top w:val="none" w:sz="0" w:space="0" w:color="auto"/>
            <w:left w:val="none" w:sz="0" w:space="0" w:color="auto"/>
            <w:bottom w:val="none" w:sz="0" w:space="0" w:color="auto"/>
            <w:right w:val="none" w:sz="0" w:space="0" w:color="auto"/>
          </w:divBdr>
          <w:divsChild>
            <w:div w:id="52745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8173">
      <w:bodyDiv w:val="1"/>
      <w:marLeft w:val="0"/>
      <w:marRight w:val="0"/>
      <w:marTop w:val="0"/>
      <w:marBottom w:val="0"/>
      <w:divBdr>
        <w:top w:val="none" w:sz="0" w:space="0" w:color="auto"/>
        <w:left w:val="none" w:sz="0" w:space="0" w:color="auto"/>
        <w:bottom w:val="none" w:sz="0" w:space="0" w:color="auto"/>
        <w:right w:val="none" w:sz="0" w:space="0" w:color="auto"/>
      </w:divBdr>
      <w:divsChild>
        <w:div w:id="2444046">
          <w:marLeft w:val="0"/>
          <w:marRight w:val="0"/>
          <w:marTop w:val="0"/>
          <w:marBottom w:val="0"/>
          <w:divBdr>
            <w:top w:val="none" w:sz="0" w:space="0" w:color="auto"/>
            <w:left w:val="none" w:sz="0" w:space="0" w:color="auto"/>
            <w:bottom w:val="none" w:sz="0" w:space="0" w:color="auto"/>
            <w:right w:val="none" w:sz="0" w:space="0" w:color="auto"/>
          </w:divBdr>
        </w:div>
      </w:divsChild>
    </w:div>
    <w:div w:id="1880894309">
      <w:bodyDiv w:val="1"/>
      <w:marLeft w:val="0"/>
      <w:marRight w:val="0"/>
      <w:marTop w:val="0"/>
      <w:marBottom w:val="0"/>
      <w:divBdr>
        <w:top w:val="none" w:sz="0" w:space="0" w:color="auto"/>
        <w:left w:val="none" w:sz="0" w:space="0" w:color="auto"/>
        <w:bottom w:val="none" w:sz="0" w:space="0" w:color="auto"/>
        <w:right w:val="none" w:sz="0" w:space="0" w:color="auto"/>
      </w:divBdr>
      <w:divsChild>
        <w:div w:id="220098661">
          <w:marLeft w:val="0"/>
          <w:marRight w:val="0"/>
          <w:marTop w:val="0"/>
          <w:marBottom w:val="0"/>
          <w:divBdr>
            <w:top w:val="none" w:sz="0" w:space="0" w:color="auto"/>
            <w:left w:val="none" w:sz="0" w:space="0" w:color="auto"/>
            <w:bottom w:val="none" w:sz="0" w:space="0" w:color="auto"/>
            <w:right w:val="none" w:sz="0" w:space="0" w:color="auto"/>
          </w:divBdr>
        </w:div>
      </w:divsChild>
    </w:div>
    <w:div w:id="2088187917">
      <w:bodyDiv w:val="1"/>
      <w:marLeft w:val="0"/>
      <w:marRight w:val="0"/>
      <w:marTop w:val="0"/>
      <w:marBottom w:val="0"/>
      <w:divBdr>
        <w:top w:val="none" w:sz="0" w:space="0" w:color="auto"/>
        <w:left w:val="none" w:sz="0" w:space="0" w:color="auto"/>
        <w:bottom w:val="none" w:sz="0" w:space="0" w:color="auto"/>
        <w:right w:val="none" w:sz="0" w:space="0" w:color="auto"/>
      </w:divBdr>
    </w:div>
    <w:div w:id="2094157724">
      <w:bodyDiv w:val="1"/>
      <w:marLeft w:val="0"/>
      <w:marRight w:val="0"/>
      <w:marTop w:val="0"/>
      <w:marBottom w:val="0"/>
      <w:divBdr>
        <w:top w:val="none" w:sz="0" w:space="0" w:color="auto"/>
        <w:left w:val="none" w:sz="0" w:space="0" w:color="auto"/>
        <w:bottom w:val="none" w:sz="0" w:space="0" w:color="auto"/>
        <w:right w:val="none" w:sz="0" w:space="0" w:color="auto"/>
      </w:divBdr>
    </w:div>
    <w:div w:id="2140687912">
      <w:bodyDiv w:val="1"/>
      <w:marLeft w:val="0"/>
      <w:marRight w:val="0"/>
      <w:marTop w:val="0"/>
      <w:marBottom w:val="0"/>
      <w:divBdr>
        <w:top w:val="none" w:sz="0" w:space="0" w:color="auto"/>
        <w:left w:val="none" w:sz="0" w:space="0" w:color="auto"/>
        <w:bottom w:val="none" w:sz="0" w:space="0" w:color="auto"/>
        <w:right w:val="none" w:sz="0" w:space="0" w:color="auto"/>
      </w:divBdr>
      <w:divsChild>
        <w:div w:id="789475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agenciaatenea.gov.co/sites/default/files/2024-09/dts_jovenes_a_la_e.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agenciaatenea.gov.co/sites/default/files/2024-09/dts_jovenes_a_la_e.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alcaldiabogota.gov.co/sisjur/normas/Norma1.jsp?i=2230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alcaldiabogota.gov.co/sisjur/normas/Norma1.jsp?i=186"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genciaatenea.gov.co/transparencia-acceso-informacion-publica/1-informacion-de-la-entidad/13-mapas-y-cartas-descriptivas-de-los-procesos-2023/g2ep-guia-operativa-dispersion-de-apoyos-economicos-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Props1.xml><?xml version="1.0" encoding="utf-8"?>
<ds:datastoreItem xmlns:ds="http://schemas.openxmlformats.org/officeDocument/2006/customXml" ds:itemID="{F4F5EA93-9F03-472F-9BD8-C0781040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B6C4C-F6A7-4BB3-B8CB-7A262B0C2027}">
  <ds:schemaRefs>
    <ds:schemaRef ds:uri="http://schemas.openxmlformats.org/officeDocument/2006/bibliography"/>
  </ds:schemaRefs>
</ds:datastoreItem>
</file>

<file path=customXml/itemProps3.xml><?xml version="1.0" encoding="utf-8"?>
<ds:datastoreItem xmlns:ds="http://schemas.openxmlformats.org/officeDocument/2006/customXml" ds:itemID="{8F0FF172-7CFE-4BB0-BD9C-4C54B51A098A}">
  <ds:schemaRefs>
    <ds:schemaRef ds:uri="http://schemas.microsoft.com/sharepoint/v3/contenttype/forms"/>
  </ds:schemaRefs>
</ds:datastoreItem>
</file>

<file path=customXml/itemProps4.xml><?xml version="1.0" encoding="utf-8"?>
<ds:datastoreItem xmlns:ds="http://schemas.openxmlformats.org/officeDocument/2006/customXml" ds:itemID="{60A3EE2C-FAC7-4D3B-937B-04E8EB089677}">
  <ds:schemaRefs>
    <ds:schemaRef ds:uri="http://schemas.microsoft.com/office/2006/metadata/propertie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Normal.dotm</Template>
  <TotalTime>1590</TotalTime>
  <Pages>65</Pages>
  <Words>25943</Words>
  <Characters>142691</Characters>
  <Application>Microsoft Office Word</Application>
  <DocSecurity>0</DocSecurity>
  <Lines>1189</Lines>
  <Paragraphs>336</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SECRETARIA DE GOBIERNO</Company>
  <LinksUpToDate>false</LinksUpToDate>
  <CharactersWithSpaces>168298</CharactersWithSpaces>
  <SharedDoc>false</SharedDoc>
  <HLinks>
    <vt:vector size="12" baseType="variant">
      <vt:variant>
        <vt:i4>6029407</vt:i4>
      </vt:variant>
      <vt:variant>
        <vt:i4>15</vt:i4>
      </vt:variant>
      <vt:variant>
        <vt:i4>0</vt:i4>
      </vt:variant>
      <vt:variant>
        <vt:i4>5</vt:i4>
      </vt:variant>
      <vt:variant>
        <vt:lpwstr>http://www.colombiacompra.gov.co/</vt:lpwstr>
      </vt:variant>
      <vt:variant>
        <vt:lpwstr/>
      </vt:variant>
      <vt:variant>
        <vt:i4>6553606</vt:i4>
      </vt:variant>
      <vt:variant>
        <vt:i4>0</vt:i4>
      </vt:variant>
      <vt:variant>
        <vt:i4>0</vt:i4>
      </vt:variant>
      <vt:variant>
        <vt:i4>5</vt:i4>
      </vt:variant>
      <vt:variant>
        <vt:lpwstr>http://www.alcaldiabogota.gov.co/sisjur/normas/Norma1.jsp?i=304</vt:lpwstr>
      </vt:variant>
      <vt:variant>
        <vt:lpwstr>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Luz Porras</cp:lastModifiedBy>
  <cp:revision>528</cp:revision>
  <cp:lastPrinted>2024-09-16T14:40:00Z</cp:lastPrinted>
  <dcterms:created xsi:type="dcterms:W3CDTF">2024-08-17T15:19:00Z</dcterms:created>
  <dcterms:modified xsi:type="dcterms:W3CDTF">2025-02-27T18:59:00Z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